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Cybersecurity polycrisis</w:t>
      </w:r>
    </w:p>
    <w:p>
      <w:pPr>
        <w:pStyle w:val="Subtitle"/>
      </w:pPr>
      <w:r>
        <w:t>Issue register and recommended actions</w:t>
      </w:r>
    </w:p>
    <w:p>
      <w:r>
        <w:rPr>
          <w:sz w:val="20"/>
        </w:rPr>
        <w:t>Evidence update: 22 October 2026 UTC / 21 October Pacific</w:t>
      </w:r>
    </w:p>
    <w:p>
      <w:r>
        <w:t>Twenty-six topics from Nicholas Roberts’s original thread and subsequent issue list. Ten entries have been added; five requested topics were already covered. The register combines incidents, vulnerabilities, disruption, policy and research. It does not establish one coordinated campaign. Prioritize actual exposure, reachable credentials and recovery dependencies.</w:t>
      </w:r>
    </w:p>
    <w:p>
      <w:hyperlink r:id="rId11">
        <w:r>
          <w:rPr>
            <w:color w:val="245579"/>
            <w:u w:val="single"/>
            <w:sz w:val="19"/>
          </w:rPr>
          <w:t>Source thread</w:t>
        </w:r>
      </w:hyperlink>
      <w:r>
        <w:t xml:space="preserve">  |  </w:t>
      </w:r>
      <w:hyperlink r:id="rId12">
        <w:r>
          <w:rPr>
            <w:color w:val="245579"/>
            <w:u w:val="single"/>
            <w:sz w:val="19"/>
          </w:rPr>
          <w:t>Original eight-event article</w:t>
        </w:r>
      </w:hyperlink>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4392"/>
        <w:gridCol w:w="1440"/>
        <w:gridCol w:w="3672"/>
      </w:tblGrid>
      <w:tr>
        <w:trPr>
          <w:tblHeader/>
          <w:cantSplit/>
        </w:trPr>
        <w:tc>
          <w:tcPr>
            <w:tcW w:type="dxa" w:w="576"/>
            <w:vAlign w:val="center"/>
            <w:tcMar>
              <w:top w:w="65" w:type="dxa"/>
              <w:bottom w:w="65" w:type="dxa"/>
              <w:left w:w="85" w:type="dxa"/>
              <w:right w:w="85" w:type="dxa"/>
            </w:tcMar>
            <w:shd w:fill="E9ECEF"/>
          </w:tcPr>
          <w:p>
            <w:pPr>
              <w:spacing w:after="0" w:line="240" w:lineRule="auto"/>
              <w:jc w:val="center"/>
            </w:pPr>
            <w:r>
              <w:rPr>
                <w:b/>
                <w:sz w:val="19"/>
              </w:rPr>
              <w:t>#</w:t>
            </w:r>
          </w:p>
        </w:tc>
        <w:tc>
          <w:tcPr>
            <w:tcW w:type="dxa" w:w="4392"/>
            <w:vAlign w:val="center"/>
            <w:tcMar>
              <w:top w:w="65" w:type="dxa"/>
              <w:bottom w:w="65" w:type="dxa"/>
              <w:left w:w="85" w:type="dxa"/>
              <w:right w:w="85" w:type="dxa"/>
            </w:tcMar>
            <w:shd w:fill="E9ECEF"/>
          </w:tcPr>
          <w:p>
            <w:pPr>
              <w:spacing w:after="0" w:line="240" w:lineRule="auto"/>
              <w:jc w:val="left"/>
            </w:pPr>
            <w:r>
              <w:rPr>
                <w:b/>
                <w:sz w:val="19"/>
              </w:rPr>
              <w:t>Issue</w:t>
            </w:r>
          </w:p>
        </w:tc>
        <w:tc>
          <w:tcPr>
            <w:tcW w:type="dxa" w:w="1440"/>
            <w:vAlign w:val="center"/>
            <w:tcMar>
              <w:top w:w="65" w:type="dxa"/>
              <w:bottom w:w="65" w:type="dxa"/>
              <w:left w:w="85" w:type="dxa"/>
              <w:right w:w="85" w:type="dxa"/>
            </w:tcMar>
            <w:shd w:fill="E9ECEF"/>
          </w:tcPr>
          <w:p>
            <w:pPr>
              <w:spacing w:after="0" w:line="240" w:lineRule="auto"/>
              <w:jc w:val="center"/>
            </w:pPr>
            <w:r>
              <w:rPr>
                <w:b/>
                <w:sz w:val="19"/>
              </w:rPr>
              <w:t>Priority</w:t>
            </w:r>
          </w:p>
        </w:tc>
        <w:tc>
          <w:tcPr>
            <w:tcW w:type="dxa" w:w="3672"/>
            <w:vAlign w:val="center"/>
            <w:tcMar>
              <w:top w:w="65" w:type="dxa"/>
              <w:bottom w:w="65" w:type="dxa"/>
              <w:left w:w="85" w:type="dxa"/>
              <w:right w:w="85" w:type="dxa"/>
            </w:tcMar>
            <w:shd w:fill="E9ECEF"/>
          </w:tcPr>
          <w:p>
            <w:pPr>
              <w:spacing w:after="0" w:line="240" w:lineRule="auto"/>
              <w:jc w:val="left"/>
            </w:pPr>
            <w:r>
              <w:rPr>
                <w:b/>
                <w:sz w:val="19"/>
              </w:rPr>
              <w:t>Evidence status</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01</w:t>
            </w:r>
          </w:p>
        </w:tc>
        <w:tc>
          <w:tcPr>
            <w:tcW w:type="dxa" w:w="4392"/>
            <w:vAlign w:val="center"/>
            <w:tcMar>
              <w:top w:w="65" w:type="dxa"/>
              <w:bottom w:w="65" w:type="dxa"/>
              <w:left w:w="85" w:type="dxa"/>
              <w:right w:w="85" w:type="dxa"/>
            </w:tcMar>
          </w:tcPr>
          <w:p>
            <w:pPr>
              <w:spacing w:after="0" w:line="240" w:lineRule="auto"/>
              <w:jc w:val="left"/>
            </w:pPr>
            <w:r>
              <w:rPr>
                <w:b w:val="0"/>
                <w:sz w:val="19"/>
              </w:rPr>
              <w:t>PHP remote code execution</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Confirmed; patches released</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02</w:t>
            </w:r>
          </w:p>
        </w:tc>
        <w:tc>
          <w:tcPr>
            <w:tcW w:type="dxa" w:w="4392"/>
            <w:vAlign w:val="center"/>
            <w:tcMar>
              <w:top w:w="65" w:type="dxa"/>
              <w:bottom w:w="65" w:type="dxa"/>
              <w:left w:w="85" w:type="dxa"/>
              <w:right w:w="85" w:type="dxa"/>
            </w:tcMar>
          </w:tcPr>
          <w:p>
            <w:pPr>
              <w:spacing w:after="0" w:line="240" w:lineRule="auto"/>
              <w:jc w:val="left"/>
            </w:pPr>
            <w:r>
              <w:rPr>
                <w:b w:val="0"/>
                <w:sz w:val="19"/>
              </w:rPr>
              <w:t>GCP London / banking outage</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Confirmed power outage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03</w:t>
            </w:r>
          </w:p>
        </w:tc>
        <w:tc>
          <w:tcPr>
            <w:tcW w:type="dxa" w:w="4392"/>
            <w:vAlign w:val="center"/>
            <w:tcMar>
              <w:top w:w="65" w:type="dxa"/>
              <w:bottom w:w="65" w:type="dxa"/>
              <w:left w:w="85" w:type="dxa"/>
              <w:right w:w="85" w:type="dxa"/>
            </w:tcMar>
          </w:tcPr>
          <w:p>
            <w:pPr>
              <w:spacing w:after="0" w:line="240" w:lineRule="auto"/>
              <w:jc w:val="left"/>
            </w:pPr>
            <w:r>
              <w:rPr>
                <w:b w:val="0"/>
                <w:sz w:val="19"/>
              </w:rPr>
              <w:t>Cairn autonomous attack operations</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Researcher observations</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04</w:t>
            </w:r>
          </w:p>
        </w:tc>
        <w:tc>
          <w:tcPr>
            <w:tcW w:type="dxa" w:w="4392"/>
            <w:vAlign w:val="center"/>
            <w:tcMar>
              <w:top w:w="65" w:type="dxa"/>
              <w:bottom w:w="65" w:type="dxa"/>
              <w:left w:w="85" w:type="dxa"/>
              <w:right w:w="85" w:type="dxa"/>
            </w:tcMar>
          </w:tcPr>
          <w:p>
            <w:pPr>
              <w:spacing w:after="0" w:line="240" w:lineRule="auto"/>
              <w:jc w:val="left"/>
            </w:pPr>
            <w:r>
              <w:rPr>
                <w:b w:val="0"/>
                <w:sz w:val="19"/>
              </w:rPr>
              <w:t>DeepSeek federal exclusion / removal</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Official government order</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05</w:t>
            </w:r>
          </w:p>
        </w:tc>
        <w:tc>
          <w:tcPr>
            <w:tcW w:type="dxa" w:w="4392"/>
            <w:vAlign w:val="center"/>
            <w:tcMar>
              <w:top w:w="65" w:type="dxa"/>
              <w:bottom w:w="65" w:type="dxa"/>
              <w:left w:w="85" w:type="dxa"/>
              <w:right w:w="85" w:type="dxa"/>
            </w:tcMar>
          </w:tcPr>
          <w:p>
            <w:pPr>
              <w:spacing w:after="0" w:line="240" w:lineRule="auto"/>
              <w:jc w:val="left"/>
            </w:pPr>
            <w:r>
              <w:rPr>
                <w:b w:val="0"/>
                <w:sz w:val="19"/>
              </w:rPr>
              <w:t>AI agents and insider risk</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Vendor guidance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06</w:t>
            </w:r>
          </w:p>
        </w:tc>
        <w:tc>
          <w:tcPr>
            <w:tcW w:type="dxa" w:w="4392"/>
            <w:vAlign w:val="center"/>
            <w:tcMar>
              <w:top w:w="65" w:type="dxa"/>
              <w:bottom w:w="65" w:type="dxa"/>
              <w:left w:w="85" w:type="dxa"/>
              <w:right w:w="85" w:type="dxa"/>
            </w:tcMar>
          </w:tcPr>
          <w:p>
            <w:pPr>
              <w:spacing w:after="0" w:line="240" w:lineRule="auto"/>
              <w:jc w:val="left"/>
            </w:pPr>
            <w:r>
              <w:rPr>
                <w:b w:val="0"/>
                <w:sz w:val="19"/>
              </w:rPr>
              <w:t>eMudhra certificate trust compromise</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Confirmed trust incident</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07</w:t>
            </w:r>
          </w:p>
        </w:tc>
        <w:tc>
          <w:tcPr>
            <w:tcW w:type="dxa" w:w="4392"/>
            <w:vAlign w:val="center"/>
            <w:tcMar>
              <w:top w:w="65" w:type="dxa"/>
              <w:bottom w:w="65" w:type="dxa"/>
              <w:left w:w="85" w:type="dxa"/>
              <w:right w:w="85" w:type="dxa"/>
            </w:tcMar>
          </w:tcPr>
          <w:p>
            <w:pPr>
              <w:spacing w:after="0" w:line="240" w:lineRule="auto"/>
              <w:jc w:val="left"/>
            </w:pPr>
            <w:r>
              <w:rPr>
                <w:b w:val="0"/>
                <w:sz w:val="19"/>
              </w:rPr>
              <w:t>OpenCode Console credential exposure</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breach</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08</w:t>
            </w:r>
          </w:p>
        </w:tc>
        <w:tc>
          <w:tcPr>
            <w:tcW w:type="dxa" w:w="4392"/>
            <w:vAlign w:val="center"/>
            <w:tcMar>
              <w:top w:w="65" w:type="dxa"/>
              <w:bottom w:w="65" w:type="dxa"/>
              <w:left w:w="85" w:type="dxa"/>
              <w:right w:w="85" w:type="dxa"/>
            </w:tcMar>
          </w:tcPr>
          <w:p>
            <w:pPr>
              <w:spacing w:after="0" w:line="240" w:lineRule="auto"/>
              <w:jc w:val="left"/>
            </w:pPr>
            <w:r>
              <w:rPr>
                <w:b w:val="0"/>
                <w:sz w:val="19"/>
              </w:rPr>
              <w:t>Lightning AI Studio breach / outage</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incident</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09</w:t>
            </w:r>
          </w:p>
        </w:tc>
        <w:tc>
          <w:tcPr>
            <w:tcW w:type="dxa" w:w="4392"/>
            <w:vAlign w:val="center"/>
            <w:tcMar>
              <w:top w:w="65" w:type="dxa"/>
              <w:bottom w:w="65" w:type="dxa"/>
              <w:left w:w="85" w:type="dxa"/>
              <w:right w:w="85" w:type="dxa"/>
            </w:tcMar>
          </w:tcPr>
          <w:p>
            <w:pPr>
              <w:spacing w:after="0" w:line="240" w:lineRule="auto"/>
              <w:jc w:val="left"/>
            </w:pPr>
            <w:r>
              <w:rPr>
                <w:b w:val="0"/>
                <w:sz w:val="19"/>
              </w:rPr>
              <w:t>PingCAP / TiDB Cloud breach</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exposure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10</w:t>
            </w:r>
          </w:p>
        </w:tc>
        <w:tc>
          <w:tcPr>
            <w:tcW w:type="dxa" w:w="4392"/>
            <w:vAlign w:val="center"/>
            <w:tcMar>
              <w:top w:w="65" w:type="dxa"/>
              <w:bottom w:w="65" w:type="dxa"/>
              <w:left w:w="85" w:type="dxa"/>
              <w:right w:w="85" w:type="dxa"/>
            </w:tcMar>
          </w:tcPr>
          <w:p>
            <w:pPr>
              <w:spacing w:after="0" w:line="240" w:lineRule="auto"/>
              <w:jc w:val="left"/>
            </w:pPr>
            <w:r>
              <w:rPr>
                <w:b w:val="0"/>
                <w:sz w:val="19"/>
              </w:rPr>
              <w:t>LiteLLM malicious package release</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Research-confirmed malware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11</w:t>
            </w:r>
          </w:p>
        </w:tc>
        <w:tc>
          <w:tcPr>
            <w:tcW w:type="dxa" w:w="4392"/>
            <w:vAlign w:val="center"/>
            <w:tcMar>
              <w:top w:w="65" w:type="dxa"/>
              <w:bottom w:w="65" w:type="dxa"/>
              <w:left w:w="85" w:type="dxa"/>
              <w:right w:w="85" w:type="dxa"/>
            </w:tcMar>
          </w:tcPr>
          <w:p>
            <w:pPr>
              <w:spacing w:after="0" w:line="240" w:lineRule="auto"/>
              <w:jc w:val="left"/>
            </w:pPr>
            <w:r>
              <w:rPr>
                <w:b w:val="0"/>
                <w:sz w:val="19"/>
              </w:rPr>
              <w:t>iPhone / Cellebrite radio-attack claims</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Claim; partly corroborated</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12</w:t>
            </w:r>
          </w:p>
        </w:tc>
        <w:tc>
          <w:tcPr>
            <w:tcW w:type="dxa" w:w="4392"/>
            <w:vAlign w:val="center"/>
            <w:tcMar>
              <w:top w:w="65" w:type="dxa"/>
              <w:bottom w:w="65" w:type="dxa"/>
              <w:left w:w="85" w:type="dxa"/>
              <w:right w:w="85" w:type="dxa"/>
            </w:tcMar>
          </w:tcPr>
          <w:p>
            <w:pPr>
              <w:spacing w:after="0" w:line="240" w:lineRule="auto"/>
              <w:jc w:val="left"/>
            </w:pPr>
            <w:r>
              <w:rPr>
                <w:b w:val="0"/>
                <w:sz w:val="19"/>
              </w:rPr>
              <w:t>Legacy PHP / “internet kill switch”</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Overlapping PHP exposure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13</w:t>
            </w:r>
          </w:p>
        </w:tc>
        <w:tc>
          <w:tcPr>
            <w:tcW w:type="dxa" w:w="4392"/>
            <w:vAlign w:val="center"/>
            <w:tcMar>
              <w:top w:w="65" w:type="dxa"/>
              <w:bottom w:w="65" w:type="dxa"/>
              <w:left w:w="85" w:type="dxa"/>
              <w:right w:w="85" w:type="dxa"/>
            </w:tcMar>
          </w:tcPr>
          <w:p>
            <w:pPr>
              <w:spacing w:after="0" w:line="240" w:lineRule="auto"/>
              <w:jc w:val="left"/>
            </w:pPr>
            <w:r>
              <w:rPr>
                <w:b w:val="0"/>
                <w:sz w:val="19"/>
              </w:rPr>
              <w:t>LLMjacking / “Skynet” agent</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Honeypot observations</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14</w:t>
            </w:r>
          </w:p>
        </w:tc>
        <w:tc>
          <w:tcPr>
            <w:tcW w:type="dxa" w:w="4392"/>
            <w:vAlign w:val="center"/>
            <w:tcMar>
              <w:top w:w="65" w:type="dxa"/>
              <w:bottom w:w="65" w:type="dxa"/>
              <w:left w:w="85" w:type="dxa"/>
              <w:right w:w="85" w:type="dxa"/>
            </w:tcMar>
          </w:tcPr>
          <w:p>
            <w:pPr>
              <w:spacing w:after="0" w:line="240" w:lineRule="auto"/>
              <w:jc w:val="left"/>
            </w:pPr>
            <w:r>
              <w:rPr>
                <w:b w:val="0"/>
                <w:sz w:val="19"/>
              </w:rPr>
              <w:t>AI-generated code assurance</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Expert warning / case example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15</w:t>
            </w:r>
          </w:p>
        </w:tc>
        <w:tc>
          <w:tcPr>
            <w:tcW w:type="dxa" w:w="4392"/>
            <w:vAlign w:val="center"/>
            <w:tcMar>
              <w:top w:w="65" w:type="dxa"/>
              <w:bottom w:w="65" w:type="dxa"/>
              <w:left w:w="85" w:type="dxa"/>
              <w:right w:w="85" w:type="dxa"/>
            </w:tcMar>
          </w:tcPr>
          <w:p>
            <w:pPr>
              <w:spacing w:after="0" w:line="240" w:lineRule="auto"/>
              <w:jc w:val="left"/>
            </w:pPr>
            <w:r>
              <w:rPr>
                <w:b w:val="0"/>
                <w:sz w:val="19"/>
              </w:rPr>
              <w:t>Node.js security vulnerabilities</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Confirmed; patches released</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16</w:t>
            </w:r>
          </w:p>
        </w:tc>
        <w:tc>
          <w:tcPr>
            <w:tcW w:type="dxa" w:w="4392"/>
            <w:vAlign w:val="center"/>
            <w:tcMar>
              <w:top w:w="65" w:type="dxa"/>
              <w:bottom w:w="65" w:type="dxa"/>
              <w:left w:w="85" w:type="dxa"/>
              <w:right w:w="85" w:type="dxa"/>
            </w:tcMar>
          </w:tcPr>
          <w:p>
            <w:pPr>
              <w:spacing w:after="0" w:line="240" w:lineRule="auto"/>
              <w:jc w:val="left"/>
            </w:pPr>
            <w:r>
              <w:rPr>
                <w:b w:val="0"/>
                <w:sz w:val="19"/>
              </w:rPr>
              <w:t>Cisco Smart Install configuration risk</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Established configuration risk</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17</w:t>
            </w:r>
          </w:p>
        </w:tc>
        <w:tc>
          <w:tcPr>
            <w:tcW w:type="dxa" w:w="4392"/>
            <w:vAlign w:val="center"/>
            <w:tcMar>
              <w:top w:w="65" w:type="dxa"/>
              <w:bottom w:w="65" w:type="dxa"/>
              <w:left w:w="85" w:type="dxa"/>
              <w:right w:w="85" w:type="dxa"/>
            </w:tcMar>
          </w:tcPr>
          <w:p>
            <w:pPr>
              <w:spacing w:after="0" w:line="240" w:lineRule="auto"/>
              <w:jc w:val="left"/>
            </w:pPr>
            <w:r>
              <w:rPr>
                <w:b w:val="0"/>
                <w:sz w:val="19"/>
              </w:rPr>
              <w:t>Railway environment secrets</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 notice; scope under review</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18</w:t>
            </w:r>
          </w:p>
        </w:tc>
        <w:tc>
          <w:tcPr>
            <w:tcW w:type="dxa" w:w="4392"/>
            <w:vAlign w:val="center"/>
            <w:tcMar>
              <w:top w:w="65" w:type="dxa"/>
              <w:bottom w:w="65" w:type="dxa"/>
              <w:left w:w="85" w:type="dxa"/>
              <w:right w:w="85" w:type="dxa"/>
            </w:tcMar>
          </w:tcPr>
          <w:p>
            <w:pPr>
              <w:spacing w:after="0" w:line="240" w:lineRule="auto"/>
              <w:jc w:val="left"/>
            </w:pPr>
            <w:r>
              <w:rPr>
                <w:b w:val="0"/>
                <w:sz w:val="19"/>
              </w:rPr>
              <w:t>Zeabur infrastructure breach</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intrusion</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19</w:t>
            </w:r>
          </w:p>
        </w:tc>
        <w:tc>
          <w:tcPr>
            <w:tcW w:type="dxa" w:w="4392"/>
            <w:vAlign w:val="center"/>
            <w:tcMar>
              <w:top w:w="65" w:type="dxa"/>
              <w:bottom w:w="65" w:type="dxa"/>
              <w:left w:w="85" w:type="dxa"/>
              <w:right w:w="85" w:type="dxa"/>
            </w:tcMar>
          </w:tcPr>
          <w:p>
            <w:pPr>
              <w:spacing w:after="0" w:line="240" w:lineRule="auto"/>
              <w:jc w:val="left"/>
            </w:pPr>
            <w:r>
              <w:rPr>
                <w:b w:val="0"/>
                <w:sz w:val="19"/>
              </w:rPr>
              <w:t>OVHcloud CLI release assets</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artifact replacement</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20</w:t>
            </w:r>
          </w:p>
        </w:tc>
        <w:tc>
          <w:tcPr>
            <w:tcW w:type="dxa" w:w="4392"/>
            <w:vAlign w:val="center"/>
            <w:tcMar>
              <w:top w:w="65" w:type="dxa"/>
              <w:bottom w:w="65" w:type="dxa"/>
              <w:left w:w="85" w:type="dxa"/>
              <w:right w:w="85" w:type="dxa"/>
            </w:tcMar>
          </w:tcPr>
          <w:p>
            <w:pPr>
              <w:spacing w:after="0" w:line="240" w:lineRule="auto"/>
              <w:jc w:val="left"/>
            </w:pPr>
            <w:r>
              <w:rPr>
                <w:b w:val="0"/>
                <w:sz w:val="19"/>
              </w:rPr>
              <w:t>Rank Math PRO plugin malware</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package compromise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21</w:t>
            </w:r>
          </w:p>
        </w:tc>
        <w:tc>
          <w:tcPr>
            <w:tcW w:type="dxa" w:w="4392"/>
            <w:vAlign w:val="center"/>
            <w:tcMar>
              <w:top w:w="65" w:type="dxa"/>
              <w:bottom w:w="65" w:type="dxa"/>
              <w:left w:w="85" w:type="dxa"/>
              <w:right w:w="85" w:type="dxa"/>
            </w:tcMar>
          </w:tcPr>
          <w:p>
            <w:pPr>
              <w:spacing w:after="0" w:line="240" w:lineRule="auto"/>
              <w:jc w:val="left"/>
            </w:pPr>
            <w:r>
              <w:rPr>
                <w:b w:val="0"/>
                <w:sz w:val="19"/>
              </w:rPr>
              <w:t>TeamUpdraft data and site access</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 notice; connected-site abuse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22</w:t>
            </w:r>
          </w:p>
        </w:tc>
        <w:tc>
          <w:tcPr>
            <w:tcW w:type="dxa" w:w="4392"/>
            <w:vAlign w:val="center"/>
            <w:tcMar>
              <w:top w:w="65" w:type="dxa"/>
              <w:bottom w:w="65" w:type="dxa"/>
              <w:left w:w="85" w:type="dxa"/>
              <w:right w:w="85" w:type="dxa"/>
            </w:tcMar>
          </w:tcPr>
          <w:p>
            <w:pPr>
              <w:spacing w:after="0" w:line="240" w:lineRule="auto"/>
              <w:jc w:val="left"/>
            </w:pPr>
            <w:r>
              <w:rPr>
                <w:b w:val="0"/>
                <w:sz w:val="19"/>
              </w:rPr>
              <w:t>ConnectWise backup identities</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Vendor-confirmed identity incident</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23</w:t>
            </w:r>
          </w:p>
        </w:tc>
        <w:tc>
          <w:tcPr>
            <w:tcW w:type="dxa" w:w="4392"/>
            <w:vAlign w:val="center"/>
            <w:tcMar>
              <w:top w:w="65" w:type="dxa"/>
              <w:bottom w:w="65" w:type="dxa"/>
              <w:left w:w="85" w:type="dxa"/>
              <w:right w:w="85" w:type="dxa"/>
            </w:tcMar>
          </w:tcPr>
          <w:p>
            <w:pPr>
              <w:spacing w:after="0" w:line="240" w:lineRule="auto"/>
              <w:jc w:val="left"/>
            </w:pPr>
            <w:r>
              <w:rPr>
                <w:b w:val="0"/>
                <w:sz w:val="19"/>
              </w:rPr>
              <w:t>Tensorlake npm compromise</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Maintainer-confirmed malware</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24</w:t>
            </w:r>
          </w:p>
        </w:tc>
        <w:tc>
          <w:tcPr>
            <w:tcW w:type="dxa" w:w="4392"/>
            <w:vAlign w:val="center"/>
            <w:tcMar>
              <w:top w:w="65" w:type="dxa"/>
              <w:bottom w:w="65" w:type="dxa"/>
              <w:left w:w="85" w:type="dxa"/>
              <w:right w:w="85" w:type="dxa"/>
            </w:tcMar>
          </w:tcPr>
          <w:p>
            <w:pPr>
              <w:spacing w:after="0" w:line="240" w:lineRule="auto"/>
              <w:jc w:val="left"/>
            </w:pPr>
            <w:r>
              <w:rPr>
                <w:b w:val="0"/>
                <w:sz w:val="19"/>
              </w:rPr>
              <w:t>SubQuery npm backdoor</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Independent technical analysis</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25</w:t>
            </w:r>
          </w:p>
        </w:tc>
        <w:tc>
          <w:tcPr>
            <w:tcW w:type="dxa" w:w="4392"/>
            <w:vAlign w:val="center"/>
            <w:tcMar>
              <w:top w:w="65" w:type="dxa"/>
              <w:bottom w:w="65" w:type="dxa"/>
              <w:left w:w="85" w:type="dxa"/>
              <w:right w:w="85" w:type="dxa"/>
            </w:tcMar>
          </w:tcPr>
          <w:p>
            <w:pPr>
              <w:spacing w:after="0" w:line="240" w:lineRule="auto"/>
              <w:jc w:val="left"/>
            </w:pPr>
            <w:r>
              <w:rPr>
                <w:b w:val="0"/>
                <w:sz w:val="19"/>
              </w:rPr>
              <w:t>GhostAction workflow injection</w:t>
            </w:r>
          </w:p>
        </w:tc>
        <w:tc>
          <w:tcPr>
            <w:tcW w:type="dxa" w:w="1440"/>
            <w:vAlign w:val="center"/>
            <w:tcMar>
              <w:top w:w="65" w:type="dxa"/>
              <w:bottom w:w="65" w:type="dxa"/>
              <w:left w:w="85" w:type="dxa"/>
              <w:right w:w="85" w:type="dxa"/>
            </w:tcMar>
          </w:tcPr>
          <w:p>
            <w:pPr>
              <w:spacing w:after="0" w:line="240" w:lineRule="auto"/>
              <w:jc w:val="center"/>
            </w:pPr>
            <w:r>
              <w:rPr>
                <w:b w:val="0"/>
                <w:sz w:val="19"/>
              </w:rPr>
              <w:t>Critical*</w:t>
            </w:r>
          </w:p>
        </w:tc>
        <w:tc>
          <w:tcPr>
            <w:tcW w:type="dxa" w:w="3672"/>
            <w:vAlign w:val="center"/>
            <w:tcMar>
              <w:top w:w="65" w:type="dxa"/>
              <w:bottom w:w="65" w:type="dxa"/>
              <w:left w:w="85" w:type="dxa"/>
              <w:right w:w="85" w:type="dxa"/>
            </w:tcMar>
          </w:tcPr>
          <w:p>
            <w:pPr>
              <w:spacing w:after="0" w:line="240" w:lineRule="auto"/>
              <w:jc w:val="left"/>
            </w:pPr>
            <w:r>
              <w:rPr>
                <w:b w:val="0"/>
                <w:sz w:val="19"/>
              </w:rPr>
              <w:t>Research-observed ongoing campaign</w:t>
            </w:r>
          </w:p>
        </w:tc>
      </w:tr>
      <w:tr>
        <w:trPr>
          <w:cantSplit/>
        </w:trPr>
        <w:tc>
          <w:tcPr>
            <w:tcW w:type="dxa" w:w="576"/>
            <w:vAlign w:val="center"/>
            <w:tcMar>
              <w:top w:w="65" w:type="dxa"/>
              <w:bottom w:w="65" w:type="dxa"/>
              <w:left w:w="85" w:type="dxa"/>
              <w:right w:w="85" w:type="dxa"/>
            </w:tcMar>
          </w:tcPr>
          <w:p>
            <w:pPr>
              <w:spacing w:after="0" w:line="240" w:lineRule="auto"/>
              <w:jc w:val="center"/>
            </w:pPr>
            <w:r>
              <w:rPr>
                <w:b w:val="0"/>
                <w:sz w:val="19"/>
              </w:rPr>
              <w:t>26</w:t>
            </w:r>
          </w:p>
        </w:tc>
        <w:tc>
          <w:tcPr>
            <w:tcW w:type="dxa" w:w="4392"/>
            <w:vAlign w:val="center"/>
            <w:tcMar>
              <w:top w:w="65" w:type="dxa"/>
              <w:bottom w:w="65" w:type="dxa"/>
              <w:left w:w="85" w:type="dxa"/>
              <w:right w:w="85" w:type="dxa"/>
            </w:tcMar>
          </w:tcPr>
          <w:p>
            <w:pPr>
              <w:spacing w:after="0" w:line="240" w:lineRule="auto"/>
              <w:jc w:val="left"/>
            </w:pPr>
            <w:r>
              <w:rPr>
                <w:b w:val="0"/>
                <w:sz w:val="19"/>
              </w:rPr>
              <w:t>Tailscale eMudhra remediation</w:t>
            </w:r>
          </w:p>
        </w:tc>
        <w:tc>
          <w:tcPr>
            <w:tcW w:type="dxa" w:w="1440"/>
            <w:vAlign w:val="center"/>
            <w:tcMar>
              <w:top w:w="65" w:type="dxa"/>
              <w:bottom w:w="65" w:type="dxa"/>
              <w:left w:w="85" w:type="dxa"/>
              <w:right w:w="85" w:type="dxa"/>
            </w:tcMar>
          </w:tcPr>
          <w:p>
            <w:pPr>
              <w:spacing w:after="0" w:line="240" w:lineRule="auto"/>
              <w:jc w:val="center"/>
            </w:pPr>
            <w:r>
              <w:rPr>
                <w:b w:val="0"/>
                <w:sz w:val="19"/>
              </w:rPr>
              <w:t>High</w:t>
            </w:r>
          </w:p>
        </w:tc>
        <w:tc>
          <w:tcPr>
            <w:tcW w:type="dxa" w:w="3672"/>
            <w:vAlign w:val="center"/>
            <w:tcMar>
              <w:top w:w="65" w:type="dxa"/>
              <w:bottom w:w="65" w:type="dxa"/>
              <w:left w:w="85" w:type="dxa"/>
              <w:right w:w="85" w:type="dxa"/>
            </w:tcMar>
          </w:tcPr>
          <w:p>
            <w:pPr>
              <w:spacing w:after="0" w:line="240" w:lineRule="auto"/>
              <w:jc w:val="left"/>
            </w:pPr>
            <w:r>
              <w:rPr>
                <w:b w:val="0"/>
                <w:sz w:val="19"/>
              </w:rPr>
              <w:t>Vendor advisory; related exposure</w:t>
            </w:r>
          </w:p>
        </w:tc>
      </w:tr>
    </w:tbl>
    <w:p>
      <w:pPr>
        <w:spacing w:before="140"/>
      </w:pPr>
      <w:r>
        <w:rPr>
          <w:b/>
          <w:sz w:val="20"/>
        </w:rPr>
        <w:t xml:space="preserve">Priority guide. </w:t>
      </w:r>
      <w:r>
        <w:rPr>
          <w:sz w:val="20"/>
        </w:rPr>
        <w:t>Operational judgments for exposed organizations: Critical means act now; High means establish exposure and an owner today. *Priority depends strongly on applicability or confirmed exposure. These labels are not CVSS scores.</w:t>
      </w:r>
    </w:p>
    <w:p>
      <w:pPr>
        <w:pStyle w:val="Heading1"/>
        <w:pageBreakBefore/>
        <w:spacing w:before="0"/>
      </w:pPr>
      <w:r>
        <w:t>Runtime infrastructure and attack automation</w:t>
      </w:r>
    </w:p>
    <w:p>
      <w:pPr>
        <w:pStyle w:val="Heading2"/>
      </w:pPr>
      <w:r>
        <w:t>01. PHP critical remote code execution</w:t>
      </w:r>
    </w:p>
    <w:p>
      <w:pPr>
        <w:spacing w:after="100"/>
      </w:pPr>
      <w:r>
        <w:rPr>
          <w:i/>
          <w:sz w:val="19"/>
        </w:rPr>
        <w:t>Critical priority  |  Confirmed vulnerabilities • Patches released 21 October 2026</w:t>
      </w:r>
    </w:p>
    <w:p>
      <w:r>
        <w:t>CVE-2026-109618 and CVE-2026-109619 allow unauthenticated remote code execution; CERT-EU rates each 9.2. The first involves out-of-memory corruption, the second stale request state. The PHP team identifies Apache mod_php as the highest-risk configuration.</w:t>
      </w:r>
    </w:p>
    <w:p>
      <w:r>
        <w:rPr>
          <w:b/>
        </w:rPr>
        <w:t xml:space="preserve">Impact and reach. </w:t>
      </w:r>
      <w:r>
        <w:t>PHP-backed websites, commerce platforms and embedded services. Web-serving installations require assessment; affected users cannot be counted from PHP market share.</w:t>
      </w:r>
    </w:p>
    <w:p>
      <w:r>
        <w:rPr>
          <w:b/>
        </w:rPr>
        <w:t xml:space="preserve">Required action. </w:t>
      </w:r>
      <w:r>
        <w:t>Platform owners: update to PHP 8.5.12, 8.4.27, 8.3.36 or 8.2.35, or a vendor-confirmed backport. Verify the running workers and images. Isolate exposed applications if patching cannot be completed safely.</w:t>
      </w:r>
    </w:p>
    <w:p>
      <w:pPr>
        <w:spacing w:after="120"/>
      </w:pPr>
      <w:hyperlink r:id="rId13">
        <w:r>
          <w:rPr>
            <w:color w:val="245579"/>
            <w:u w:val="single"/>
            <w:sz w:val="19"/>
          </w:rPr>
          <w:t>PHP release advisory</w:t>
        </w:r>
      </w:hyperlink>
      <w:r>
        <w:t xml:space="preserve">  ·  </w:t>
      </w:r>
      <w:hyperlink r:id="rId14">
        <w:r>
          <w:rPr>
            <w:color w:val="245579"/>
            <w:u w:val="single"/>
            <w:sz w:val="19"/>
          </w:rPr>
          <w:t>CERT-EU 2026-018</w:t>
        </w:r>
      </w:hyperlink>
    </w:p>
    <w:p>
      <w:pPr>
        <w:pStyle w:val="Heading2"/>
      </w:pPr>
      <w:r>
        <w:t>02. Google Cloud London outage and banking disruption</w:t>
      </w:r>
    </w:p>
    <w:p>
      <w:pPr>
        <w:spacing w:after="100"/>
      </w:pPr>
      <w:r>
        <w:rPr>
          <w:i/>
          <w:sz w:val="19"/>
        </w:rPr>
        <w:t>High priority  |  Availability incident • Mostly mitigated 20 October 2026</w:t>
      </w:r>
    </w:p>
    <w:p>
      <w:r>
        <w:t>Google reports a power event in europe-west2-b with wider regional errors. Its incident window was 20 October, 06:08–14:00 UTC: 7 hours 52 minutes. That is the platform window, not the downtime of every dependent bank or customer. The report does not establish a cyberattack.</w:t>
      </w:r>
    </w:p>
    <w:p>
      <w:r>
        <w:rPr>
          <w:b/>
        </w:rPr>
        <w:t xml:space="preserve">Impact and reach. </w:t>
      </w:r>
      <w:r>
        <w:t>Workloads and downstream services depending on the London zone or region, including affected banking services. The total number of affected end users is unconfirmed.</w:t>
      </w:r>
    </w:p>
    <w:p>
      <w:r>
        <w:rPr>
          <w:b/>
        </w:rPr>
        <w:t xml:space="preserve">Required action. </w:t>
      </w:r>
      <w:r>
        <w:t>Infrastructure and operations owners: verify recovery, reconcile queued transactions, and test cross-zone or regional recovery. Map shared dependencies in payment and banking suppliers; record actual recovery times and data-loss tolerances.</w:t>
      </w:r>
    </w:p>
    <w:p>
      <w:pPr>
        <w:spacing w:after="120"/>
      </w:pPr>
      <w:hyperlink r:id="rId15">
        <w:r>
          <w:rPr>
            <w:color w:val="245579"/>
            <w:u w:val="single"/>
            <w:sz w:val="19"/>
          </w:rPr>
          <w:t>Google incident report</w:t>
        </w:r>
      </w:hyperlink>
      <w:r>
        <w:t xml:space="preserve">  ·  </w:t>
      </w:r>
      <w:hyperlink r:id="rId16">
        <w:r>
          <w:rPr>
            <w:color w:val="245579"/>
            <w:u w:val="single"/>
            <w:sz w:val="19"/>
          </w:rPr>
          <w:t>UK Treasury Committee</w:t>
        </w:r>
      </w:hyperlink>
    </w:p>
    <w:p>
      <w:pPr>
        <w:pStyle w:val="Heading2"/>
      </w:pPr>
      <w:r>
        <w:t>03. Cairn: AI-assisted cybercrime operations</w:t>
      </w:r>
    </w:p>
    <w:p>
      <w:pPr>
        <w:spacing w:after="100"/>
      </w:pPr>
      <w:r>
        <w:rPr>
          <w:i/>
          <w:sz w:val="19"/>
        </w:rPr>
        <w:t>High priority  |  Threat research • NorForge report, 19 October 2026</w:t>
      </w:r>
    </w:p>
    <w:p>
      <w:r>
        <w:t>NorForge identified more than 20 exposed panels assessed as likely malicious. Its largest cluster contained over 1,100 attack projects across 14 dashboards, targeting commerce and payment infrastructure. These are projects, not 1,100 confirmed victims. Worker names suggest DeepSeek through coding-agent harnesses; they do not prove Claude model involvement.</w:t>
      </w:r>
    </w:p>
    <w:p>
      <w:r>
        <w:rPr>
          <w:b/>
        </w:rPr>
        <w:t xml:space="preserve">Impact and reach. </w:t>
      </w:r>
      <w:r>
        <w:t>Internet-facing commerce, payment and other applications; the largest observed cluster focused on the US, Japan and Australia. The confirmed victim population is unknown.</w:t>
      </w:r>
    </w:p>
    <w:p>
      <w:r>
        <w:rPr>
          <w:b/>
        </w:rPr>
        <w:t xml:space="preserve">Required action. </w:t>
      </w:r>
      <w:r>
        <w:t>Security and engineering owners: prioritize exposed application flaws, protect administrative tools, and investigate unexpected files, sessions and service credentials. Require access controls and data-handling assurance from penetration-testing suppliers.</w:t>
      </w:r>
    </w:p>
    <w:p>
      <w:pPr>
        <w:spacing w:after="120"/>
      </w:pPr>
      <w:hyperlink r:id="rId17">
        <w:r>
          <w:rPr>
            <w:color w:val="245579"/>
            <w:u w:val="single"/>
            <w:sz w:val="19"/>
          </w:rPr>
          <w:t>NorForge investigation</w:t>
        </w:r>
      </w:hyperlink>
    </w:p>
    <w:p>
      <w:pPr>
        <w:pStyle w:val="Heading1"/>
        <w:pageBreakBefore/>
        <w:spacing w:before="0"/>
      </w:pPr>
      <w:r>
        <w:t>AI governance and certificate trust</w:t>
      </w:r>
    </w:p>
    <w:p>
      <w:pPr>
        <w:pStyle w:val="Heading2"/>
      </w:pPr>
      <w:r>
        <w:t>04. DeepSeek restrictions in US federal civilian systems</w:t>
      </w:r>
    </w:p>
    <w:p>
      <w:pPr>
        <w:spacing w:after="100"/>
      </w:pPr>
      <w:r>
        <w:rPr>
          <w:i/>
          <w:sz w:val="19"/>
        </w:rPr>
        <w:t>High priority  |  Supply-chain policy • Federal Register notice, 20 October 2026</w:t>
      </w:r>
    </w:p>
    <w:p>
      <w:r>
        <w:t>DHS published an order excluding DeepSeek products and services from federal civilian procurements and requiring removal from civilian agency IT, including specified third-party implementations. The cited order is a DHS/FASC measure; it is not a blanket prohibition on private-sector use or a restriction limited to citizen-service websites.</w:t>
      </w:r>
    </w:p>
    <w:p>
      <w:r>
        <w:rPr>
          <w:b/>
        </w:rPr>
        <w:t xml:space="preserve">Impact and reach. </w:t>
      </w:r>
      <w:r>
        <w:t>Federal civilian agencies and suppliers supporting covered systems or procurements. Applicability to a particular business depends on its products, deployments and contractual obligations; no affected-user count is established.</w:t>
      </w:r>
    </w:p>
    <w:p>
      <w:r>
        <w:rPr>
          <w:b/>
        </w:rPr>
        <w:t xml:space="preserve">Required action. </w:t>
      </w:r>
      <w:r>
        <w:t>Procurement, legal and AI owners: inventory direct and embedded model dependencies. Review the signed order for scope, exceptions and deadlines, obtain supplier attestations, and plan any required replacement and data migration.</w:t>
      </w:r>
    </w:p>
    <w:p>
      <w:pPr>
        <w:spacing w:after="120"/>
      </w:pPr>
      <w:hyperlink r:id="rId18">
        <w:r>
          <w:rPr>
            <w:color w:val="245579"/>
            <w:u w:val="single"/>
            <w:sz w:val="19"/>
          </w:rPr>
          <w:t>Federal Register order notice</w:t>
        </w:r>
      </w:hyperlink>
    </w:p>
    <w:p>
      <w:pPr>
        <w:pStyle w:val="Heading2"/>
      </w:pPr>
      <w:r>
        <w:t>05. Microsoft: AI agents as an insider-risk category</w:t>
      </w:r>
    </w:p>
    <w:p>
      <w:pPr>
        <w:spacing w:after="100"/>
      </w:pPr>
      <w:r>
        <w:rPr>
          <w:i/>
          <w:sz w:val="19"/>
        </w:rPr>
        <w:t>High priority  |  Governance warning • Microsoft statement, 19 October 2026</w:t>
      </w:r>
    </w:p>
    <w:p>
      <w:r>
        <w:t>Microsoft argues that agents can cause harm through excessive permissions or goal-directed behavior even without an external compromise. Its statement discusses continuous supervision and containment. It is guidance and a product announcement, not disclosure of a single Microsoft customer breach.</w:t>
      </w:r>
    </w:p>
    <w:p>
      <w:r>
        <w:rPr>
          <w:b/>
        </w:rPr>
        <w:t xml:space="preserve">Impact and reach. </w:t>
      </w:r>
      <w:r>
        <w:t>Organizations giving agents access to sensitive information, operational systems, spending or consequential decisions. Exposure follows delegated authority; chatbot user totals are not an affected population.</w:t>
      </w:r>
    </w:p>
    <w:p>
      <w:r>
        <w:rPr>
          <w:b/>
        </w:rPr>
        <w:t xml:space="preserve">Required action. </w:t>
      </w:r>
      <w:r>
        <w:t>AI and identity owners: assign each agent an accountable owner and distinct identity. Limit permissions and spending, require approval for consequential actions, log tool activity, and test shutdown and recovery. Verify controls outside the model itself.</w:t>
      </w:r>
    </w:p>
    <w:p>
      <w:pPr>
        <w:spacing w:after="120"/>
      </w:pPr>
      <w:hyperlink r:id="rId19">
        <w:r>
          <w:rPr>
            <w:color w:val="245579"/>
            <w:u w:val="single"/>
            <w:sz w:val="19"/>
          </w:rPr>
          <w:t>Microsoft: Securing the agentic insider</w:t>
        </w:r>
      </w:hyperlink>
    </w:p>
    <w:p>
      <w:pPr>
        <w:pStyle w:val="Heading2"/>
      </w:pPr>
      <w:r>
        <w:t>06. eMudhra intermediate certificate compromise</w:t>
      </w:r>
    </w:p>
    <w:p>
      <w:pPr>
        <w:spacing w:after="100"/>
      </w:pPr>
      <w:r>
        <w:rPr>
          <w:i/>
          <w:sz w:val="19"/>
        </w:rPr>
        <w:t>Critical priority  |  Certificate trust incident • Public response, October 2026</w:t>
      </w:r>
    </w:p>
    <w:p>
      <w:r>
        <w:t>Eight intermediate certificates had compromised private keys. Cloudflare confirms weak keys could enable forged certificates and server impersonation where those chains remain trusted. This concerns authentication, not a break in TLS encryption. The thread also raises procurement and corruption allegations; these are unverified and do not establish the technical cause. Cryptographic keys are not login passwords.</w:t>
      </w:r>
    </w:p>
    <w:p>
      <w:r>
        <w:rPr>
          <w:b/>
        </w:rPr>
        <w:t xml:space="preserve">Impact and reach. </w:t>
      </w:r>
      <w:r>
        <w:t>Browsers, operating systems, runtimes and custom trust stores accepting the affected chains. Successful interception requires additional conditions; a global victim count is unknown.</w:t>
      </w:r>
    </w:p>
    <w:p>
      <w:r>
        <w:rPr>
          <w:b/>
        </w:rPr>
        <w:t xml:space="preserve">Required action. </w:t>
      </w:r>
      <w:r>
        <w:t>Endpoint and platform owners: deploy vendor trust-store updates, restart or redeploy dependent services, and replace affected chains. Review bundled CA stores and Cloudflare clients or tunnels. Keep certificate verification enabled.</w:t>
      </w:r>
    </w:p>
    <w:p>
      <w:pPr>
        <w:spacing w:after="120"/>
      </w:pPr>
      <w:hyperlink r:id="rId20">
        <w:r>
          <w:rPr>
            <w:color w:val="245579"/>
            <w:u w:val="single"/>
            <w:sz w:val="19"/>
          </w:rPr>
          <w:t>Cloudflare response</w:t>
        </w:r>
      </w:hyperlink>
      <w:r>
        <w:t xml:space="preserve">  ·  </w:t>
      </w:r>
      <w:hyperlink r:id="rId21">
        <w:r>
          <w:rPr>
            <w:color w:val="245579"/>
            <w:u w:val="single"/>
            <w:sz w:val="19"/>
          </w:rPr>
          <w:t>Thread supplement</w:t>
        </w:r>
      </w:hyperlink>
    </w:p>
    <w:p>
      <w:pPr>
        <w:pStyle w:val="Heading1"/>
        <w:pageBreakBefore/>
        <w:spacing w:before="0"/>
      </w:pPr>
      <w:r>
        <w:t>Supplier incidents and credential exposure</w:t>
      </w:r>
    </w:p>
    <w:p>
      <w:pPr>
        <w:pStyle w:val="Heading2"/>
      </w:pPr>
      <w:r>
        <w:t>07. OpenCode Console breach and linked AI accounts</w:t>
      </w:r>
    </w:p>
    <w:p>
      <w:pPr>
        <w:spacing w:after="100"/>
      </w:pPr>
      <w:r>
        <w:rPr>
          <w:i/>
          <w:sz w:val="19"/>
        </w:rPr>
        <w:t>Critical priority  |  Credential incident • OpenCode statement, 17 October 2026</w:t>
      </w:r>
    </w:p>
    <w:p>
      <w:r>
        <w:t>OpenCode reported a breach affecting 1.4% of Console users: a subset with external providers linked. It described a large-scale distillation attack and said it was working with Anthropic, OpenAI and Google. This scope should not be expanded to every local OpenCode installation.</w:t>
      </w:r>
    </w:p>
    <w:p>
      <w:r>
        <w:rPr>
          <w:b/>
        </w:rPr>
        <w:t xml:space="preserve">Impact and reach. </w:t>
      </w:r>
      <w:r>
        <w:t>Affected Console accounts and connected provider credentials. The percentage is a vendor-reported share of Console users, not a count of compromised people or all product users. Unauthorized use can create financial loss and exhaust service quotas.</w:t>
      </w:r>
    </w:p>
    <w:p>
      <w:r>
        <w:rPr>
          <w:b/>
        </w:rPr>
        <w:t xml:space="preserve">Required action. </w:t>
      </w:r>
      <w:r>
        <w:t>AI platform owners: check incident notifications, revoke and replace potentially exposed provider keys, and review usage and billing logs. Apply account limits, investigate unexplained charges, and retain evidence for provider support.</w:t>
      </w:r>
    </w:p>
    <w:p>
      <w:pPr>
        <w:spacing w:after="120"/>
      </w:pPr>
      <w:hyperlink r:id="rId22">
        <w:r>
          <w:rPr>
            <w:color w:val="245579"/>
            <w:u w:val="single"/>
            <w:sz w:val="19"/>
          </w:rPr>
          <w:t>OpenCode incident statement</w:t>
        </w:r>
      </w:hyperlink>
    </w:p>
    <w:p>
      <w:pPr>
        <w:pStyle w:val="Heading2"/>
      </w:pPr>
      <w:r>
        <w:t>08. Lightning AI Studio credential incident</w:t>
      </w:r>
    </w:p>
    <w:p>
      <w:pPr>
        <w:spacing w:after="100"/>
      </w:pPr>
      <w:r>
        <w:rPr>
          <w:i/>
          <w:sz w:val="19"/>
        </w:rPr>
        <w:t>Critical priority  |  Credential and availability incident • Began 15 October 2026</w:t>
      </w:r>
    </w:p>
    <w:p>
      <w:r>
        <w:t>Lightning identified unauthorized credential access at 23:00 UTC on 15 October and revoked platform access two hours later. Its notice says the platform remains inaccessible during the investigation. The affected service scope includes Studio, Deployments, Pipelines and Drive, excluding GPU rental infrastructure and managed Kubernetes/SLURM services.</w:t>
      </w:r>
    </w:p>
    <w:p>
      <w:r>
        <w:rPr>
          <w:b/>
        </w:rPr>
        <w:t xml:space="preserve">Impact and reach. </w:t>
      </w:r>
      <w:r>
        <w:t>Lightning Platform users and third-party systems connected to their environments. Some credentials were identified as compromised, but Lightning recommends precautionary action by all users. No complete affected-user total is published.</w:t>
      </w:r>
    </w:p>
    <w:p>
      <w:r>
        <w:rPr>
          <w:b/>
        </w:rPr>
        <w:t xml:space="preserve">Required action. </w:t>
      </w:r>
      <w:r>
        <w:t>ML platform and security owners: revoke exposed secrets, rotate GitHub and third-party credentials, and review connected-service logs. Preserve evidence and activate continuity arrangements for unavailable workflows.</w:t>
      </w:r>
    </w:p>
    <w:p>
      <w:pPr>
        <w:spacing w:after="120"/>
      </w:pPr>
      <w:hyperlink r:id="rId23">
        <w:r>
          <w:rPr>
            <w:color w:val="245579"/>
            <w:u w:val="single"/>
            <w:sz w:val="19"/>
          </w:rPr>
          <w:t>Lightning incident notice</w:t>
        </w:r>
      </w:hyperlink>
    </w:p>
    <w:p>
      <w:pPr>
        <w:pStyle w:val="Heading2"/>
      </w:pPr>
      <w:r>
        <w:t>09. PingCAP / TiDB Cloud data exposure</w:t>
      </w:r>
    </w:p>
    <w:p>
      <w:pPr>
        <w:spacing w:after="100"/>
      </w:pPr>
      <w:r>
        <w:rPr>
          <w:i/>
          <w:sz w:val="19"/>
        </w:rPr>
        <w:t>High priority  |  Supplier breach • Reported 19 October; customer actions 20 October</w:t>
      </w:r>
    </w:p>
    <w:p>
      <w:r>
        <w:t>PingCAP confirms stolen service-account credentials were used between 9 September and 7 October to copy internal data and source code. Exported records included customer metadata, SQL editor text, commercial details and encrypted API-key values. PingCAP reports no evidence that data stored in TiDB was impacted; customer-specific scope remains under investigation.</w:t>
      </w:r>
    </w:p>
    <w:p>
      <w:r>
        <w:rPr>
          <w:b/>
        </w:rPr>
        <w:t xml:space="preserve">Impact and reach. </w:t>
      </w:r>
      <w:r>
        <w:t>Potentially affected TiDB Cloud customer records and integrations. Large figures circulating from the alleged attacker are not verified breach totals. Exposure of customer details can enable convincing phishing.</w:t>
      </w:r>
    </w:p>
    <w:p>
      <w:r>
        <w:rPr>
          <w:b/>
        </w:rPr>
        <w:t xml:space="preserve">Required action. </w:t>
      </w:r>
      <w:r>
        <w:t>Database and security owners: follow PingCAP’s advice to replace management API keys and review logs. Revoke suspected misused keys immediately. Verify unexpected payment or credential requests through established channels.</w:t>
      </w:r>
    </w:p>
    <w:p>
      <w:pPr>
        <w:spacing w:after="120"/>
      </w:pPr>
      <w:hyperlink r:id="rId24">
        <w:r>
          <w:rPr>
            <w:color w:val="245579"/>
            <w:u w:val="single"/>
            <w:sz w:val="19"/>
          </w:rPr>
          <w:t>PingCAP incident report</w:t>
        </w:r>
      </w:hyperlink>
      <w:r>
        <w:t xml:space="preserve">  ·  </w:t>
      </w:r>
      <w:hyperlink r:id="rId25">
        <w:r>
          <w:rPr>
            <w:color w:val="245579"/>
            <w:u w:val="single"/>
            <w:sz w:val="19"/>
          </w:rPr>
          <w:t>Customer actions</w:t>
        </w:r>
      </w:hyperlink>
      <w:r>
        <w:t xml:space="preserve">  ·  </w:t>
      </w:r>
      <w:hyperlink r:id="rId26">
        <w:r>
          <w:rPr>
            <w:color w:val="245579"/>
            <w:u w:val="single"/>
            <w:sz w:val="19"/>
          </w:rPr>
          <w:t>Thread item 9</w:t>
        </w:r>
      </w:hyperlink>
    </w:p>
    <w:p>
      <w:pPr>
        <w:pStyle w:val="Heading1"/>
        <w:pageBreakBefore/>
        <w:spacing w:before="0"/>
      </w:pPr>
      <w:r>
        <w:t>Software supply chain devices and legacy systems</w:t>
      </w:r>
    </w:p>
    <w:p>
      <w:pPr>
        <w:pStyle w:val="Heading2"/>
      </w:pPr>
      <w:r>
        <w:t>10. LiteLLM 1.107.0 supply-chain compromise</w:t>
      </w:r>
    </w:p>
    <w:p>
      <w:pPr>
        <w:spacing w:after="100"/>
      </w:pPr>
      <w:r>
        <w:rPr>
          <w:i/>
          <w:sz w:val="19"/>
        </w:rPr>
        <w:t>Critical priority  |  Malicious release • JFrog research, 21 October 2026</w:t>
      </w:r>
    </w:p>
    <w:p>
      <w:r>
        <w:t>JFrog found credential-stealing and remote-code-loading payloads in all seven PyPI wheels for LiteLLM 1.107.0 and the corresponding official Docker image. Python startup could trigger the payload without importing LiteLLM. The release was removed; mutable Docker tags that pointed to it also created exposure. The source tarball did not contain the same payload files.</w:t>
      </w:r>
    </w:p>
    <w:p>
      <w:r>
        <w:rPr>
          <w:b/>
        </w:rPr>
        <w:t xml:space="preserve">Impact and reach. </w:t>
      </w:r>
      <w:r>
        <w:t>Developer machines, build systems, containers and production workloads that used affected artifacts. Package popularity or downloads do not establish the number of compromised organizations.</w:t>
      </w:r>
    </w:p>
    <w:p>
      <w:r>
        <w:rPr>
          <w:b/>
        </w:rPr>
        <w:t xml:space="preserve">Required action. </w:t>
      </w:r>
      <w:r>
        <w:t>Engineering and incident-response owners: block affected artifacts, inventory caches and images, and isolate suspected execution environments. Preserve evidence, revoke exposed secrets from a clean system, and rebuild using independently verified artifacts.</w:t>
      </w:r>
    </w:p>
    <w:p>
      <w:pPr>
        <w:spacing w:after="120"/>
      </w:pPr>
      <w:hyperlink r:id="rId27">
        <w:r>
          <w:rPr>
            <w:color w:val="245579"/>
            <w:u w:val="single"/>
            <w:sz w:val="19"/>
          </w:rPr>
          <w:t>JFrog investigation</w:t>
        </w:r>
      </w:hyperlink>
      <w:r>
        <w:t xml:space="preserve">  ·  </w:t>
      </w:r>
      <w:hyperlink r:id="rId28">
        <w:r>
          <w:rPr>
            <w:color w:val="245579"/>
            <w:u w:val="single"/>
            <w:sz w:val="19"/>
          </w:rPr>
          <w:t>Thread item 10</w:t>
        </w:r>
      </w:hyperlink>
    </w:p>
    <w:p>
      <w:pPr>
        <w:pStyle w:val="Heading2"/>
      </w:pPr>
      <w:r>
        <w:t>11. iPhone proximity-attack and Cellebrite claims</w:t>
      </w:r>
    </w:p>
    <w:p>
      <w:pPr>
        <w:spacing w:after="100"/>
      </w:pPr>
      <w:r>
        <w:rPr>
          <w:i/>
          <w:sz w:val="19"/>
        </w:rPr>
        <w:t>High priority  |  Research claim requiring qualification • Published 17 October 2026</w:t>
      </w:r>
    </w:p>
    <w:p>
      <w:r>
        <w:t>The quoted claim that iPhone 11–16 are broadly vulnerable overstates the evidence. Justin’s analysis proposes a proximity-based Bluetooth chain and a candidate fix in iOS 26.5, while explicitly treating the Cellebrite connection as speculation. Apple separately confirms a Bluetooth code-execution fix, CVE-2026-65414, in iOS 26.7; that does not prove the proposed chain.</w:t>
      </w:r>
    </w:p>
    <w:p>
      <w:r>
        <w:rPr>
          <w:b/>
        </w:rPr>
        <w:t xml:space="preserve">Impact and reach. </w:t>
      </w:r>
      <w:r>
        <w:t>Potentially vulnerable device and OS combinations, particularly in targeted physical-proximity scenarios. Neither all current iPhones nor a worldwide exploited population is established.</w:t>
      </w:r>
    </w:p>
    <w:p>
      <w:r>
        <w:rPr>
          <w:b/>
        </w:rPr>
        <w:t xml:space="preserve">Required action. </w:t>
      </w:r>
      <w:r>
        <w:t>Endpoint owners: verify managed-device OS versions and deploy current supported Apple security updates. Escalate suspected targeted compromise to mobile incident responders. Do not treat the social post or its community note as definitive technical scope.</w:t>
      </w:r>
    </w:p>
    <w:p>
      <w:pPr>
        <w:spacing w:after="120"/>
      </w:pPr>
      <w:hyperlink r:id="rId29">
        <w:r>
          <w:rPr>
            <w:color w:val="245579"/>
            <w:u w:val="single"/>
            <w:sz w:val="19"/>
          </w:rPr>
          <w:t>Underlying research</w:t>
        </w:r>
      </w:hyperlink>
      <w:r>
        <w:t xml:space="preserve">  ·  </w:t>
      </w:r>
      <w:hyperlink r:id="rId30">
        <w:r>
          <w:rPr>
            <w:color w:val="245579"/>
            <w:u w:val="single"/>
            <w:sz w:val="19"/>
          </w:rPr>
          <w:t>Apple security bulletin</w:t>
        </w:r>
      </w:hyperlink>
      <w:r>
        <w:t xml:space="preserve">  ·  </w:t>
      </w:r>
      <w:hyperlink r:id="rId31">
        <w:r>
          <w:rPr>
            <w:color w:val="245579"/>
            <w:u w:val="single"/>
            <w:sz w:val="19"/>
          </w:rPr>
          <w:t>Thread item 11</w:t>
        </w:r>
      </w:hyperlink>
    </w:p>
    <w:p>
      <w:pPr>
        <w:pStyle w:val="Heading2"/>
      </w:pPr>
      <w:r>
        <w:t>12. Legacy PHP exposure: the “internet kill switch” claim</w:t>
      </w:r>
    </w:p>
    <w:p>
      <w:pPr>
        <w:spacing w:after="100"/>
      </w:pPr>
      <w:r>
        <w:rPr>
          <w:i/>
          <w:sz w:val="19"/>
        </w:rPr>
        <w:t>Critical priority  |  Related to issue 01 • Unsupported-software risk, not a separate attack</w:t>
      </w:r>
    </w:p>
    <w:p>
      <w:r>
        <w:t>This reply quotes a graphic about unsupported PHP versions and extrapolates to a third of the Internet. That estimate does not establish an affected-user total or permanent failure. The relevant issue is the difficulty of patching legacy estates. PHP has now provided minimal source backports for 7.4, 8.0 and 8.1, alongside vendor backport options.</w:t>
      </w:r>
    </w:p>
    <w:p>
      <w:r>
        <w:rPr>
          <w:b/>
        </w:rPr>
        <w:t xml:space="preserve">Impact and reach. </w:t>
      </w:r>
      <w:r>
        <w:t>Older PHP applications, appliances and hosted sites with limited maintenance support. The thread’s sample of version-disclosing websites cannot be generalized to all Internet users.</w:t>
      </w:r>
    </w:p>
    <w:p>
      <w:r>
        <w:rPr>
          <w:b/>
        </w:rPr>
        <w:t xml:space="preserve">Required action. </w:t>
      </w:r>
      <w:r>
        <w:t>Application owners: locate unsupported runtimes, obtain written patch assurance from hosts, and move to supported versions. Restrict exposed services until fixed. Do not count this as an additional independent PHP incident.</w:t>
      </w:r>
    </w:p>
    <w:p>
      <w:pPr>
        <w:spacing w:after="120"/>
      </w:pPr>
      <w:hyperlink r:id="rId13">
        <w:r>
          <w:rPr>
            <w:color w:val="245579"/>
            <w:u w:val="single"/>
            <w:sz w:val="19"/>
          </w:rPr>
          <w:t>Current PHP guidance</w:t>
        </w:r>
      </w:hyperlink>
      <w:r>
        <w:t xml:space="preserve">  ·  </w:t>
      </w:r>
      <w:hyperlink r:id="rId32">
        <w:r>
          <w:rPr>
            <w:color w:val="245579"/>
            <w:u w:val="single"/>
            <w:sz w:val="19"/>
          </w:rPr>
          <w:t>Thread item 12</w:t>
        </w:r>
      </w:hyperlink>
    </w:p>
    <w:p>
      <w:pPr>
        <w:pStyle w:val="Heading1"/>
        <w:pageBreakBefore/>
        <w:spacing w:before="0" w:after="120"/>
      </w:pPr>
      <w:r>
        <w:t>Autonomous attacks and network controls</w:t>
      </w:r>
    </w:p>
    <w:p>
      <w:pPr>
        <w:pStyle w:val="Heading2"/>
        <w:spacing w:before="120"/>
      </w:pPr>
      <w:r>
        <w:t>13. Symantec: autonomous LLMjacking and “Skynet”</w:t>
      </w:r>
    </w:p>
    <w:p>
      <w:pPr>
        <w:spacing w:after="100"/>
      </w:pPr>
      <w:r>
        <w:rPr>
          <w:i/>
          <w:sz w:val="19"/>
        </w:rPr>
        <w:t>High priority  |  Threat research • Symantec/Broadcom, 21 October 2026</w:t>
      </w:r>
    </w:p>
    <w:p>
      <w:pPr>
        <w:spacing w:after="80"/>
      </w:pPr>
      <w:r>
        <w:t>A honeypot captured an offensive agent’s instructions, including 74 tool definitions and a mode permitting 100,000 unattended steps. This is evidence of design and attempted use, not 100,000 completed attacks. The honeypot did not execute the tools.</w:t>
      </w:r>
      <w:r>
        <w:rPr>
          <w:b/>
        </w:rPr>
        <w:t xml:space="preserve"> Impact and reach. </w:t>
      </w:r>
      <w:r>
        <w:t>Exposed model endpoints, AI gateways and stolen provider accounts; potential consequences include compute charges and downstream intrusion. A confirmed victim total is unavailable.</w:t>
      </w:r>
    </w:p>
    <w:p>
      <w:pPr>
        <w:spacing w:after="80"/>
      </w:pPr>
      <w:r>
        <w:rPr>
          <w:b/>
        </w:rPr>
        <w:t xml:space="preserve">Required action. </w:t>
      </w:r>
      <w:r>
        <w:t>AI infrastructure owners: authenticate endpoints, narrow key scope, monitor spend, and restrict agent network access. Investigate unexpected inference activity and rotate suspected stolen credentials.</w:t>
      </w:r>
    </w:p>
    <w:p>
      <w:pPr>
        <w:spacing w:after="60"/>
      </w:pPr>
      <w:hyperlink r:id="rId33">
        <w:r>
          <w:rPr>
            <w:color w:val="245579"/>
            <w:u w:val="single"/>
            <w:sz w:val="19"/>
          </w:rPr>
          <w:t>Symantec/Broadcom research</w:t>
        </w:r>
      </w:hyperlink>
      <w:r>
        <w:t xml:space="preserve">  ·  </w:t>
      </w:r>
      <w:hyperlink r:id="rId34">
        <w:r>
          <w:rPr>
            <w:color w:val="245579"/>
            <w:u w:val="single"/>
            <w:sz w:val="19"/>
          </w:rPr>
          <w:t>Thread item 13</w:t>
        </w:r>
      </w:hyperlink>
    </w:p>
    <w:p>
      <w:pPr>
        <w:pStyle w:val="Heading2"/>
        <w:spacing w:before="120"/>
      </w:pPr>
      <w:r>
        <w:t>14. AI-generated code and application security</w:t>
      </w:r>
    </w:p>
    <w:p>
      <w:pPr>
        <w:spacing w:after="100"/>
      </w:pPr>
      <w:r>
        <w:rPr>
          <w:i/>
          <w:sz w:val="19"/>
        </w:rPr>
        <w:t>High priority  |  Engineering risk • Oege de Moor commentary, 21 October 2026</w:t>
      </w:r>
    </w:p>
    <w:p>
      <w:pPr>
        <w:spacing w:after="80"/>
      </w:pPr>
      <w:r>
        <w:t>The cited post warns that rapid AI coding can produce authorization and business-logic flaws. Its example describes an application exposing uploaded documents to other users. The post’s broad failure-rate claim is not used here as a universal statistic.</w:t>
      </w:r>
      <w:r>
        <w:rPr>
          <w:b/>
        </w:rPr>
        <w:t xml:space="preserve"> Impact and reach. </w:t>
      </w:r>
      <w:r>
        <w:t>Organizations deploying generated code without appropriate review and testing; actual exposure depends on each application’s data and permissions.</w:t>
      </w:r>
    </w:p>
    <w:p>
      <w:pPr>
        <w:spacing w:after="80"/>
      </w:pPr>
      <w:r>
        <w:rPr>
          <w:b/>
        </w:rPr>
        <w:t xml:space="preserve">Required action. </w:t>
      </w:r>
      <w:r>
        <w:t>Engineering owners: put security requirements into delivery workflows, test tenant isolation and authorization, review generated changes, and run continuous security checks. Treat model prompts as guidance, not enforcement.</w:t>
      </w:r>
    </w:p>
    <w:p>
      <w:pPr>
        <w:spacing w:after="60"/>
      </w:pPr>
      <w:hyperlink r:id="rId35">
        <w:r>
          <w:rPr>
            <w:color w:val="245579"/>
            <w:u w:val="single"/>
            <w:sz w:val="19"/>
          </w:rPr>
          <w:t>Original commentary</w:t>
        </w:r>
      </w:hyperlink>
      <w:r>
        <w:t xml:space="preserve">  ·  </w:t>
      </w:r>
      <w:hyperlink r:id="rId36">
        <w:r>
          <w:rPr>
            <w:color w:val="245579"/>
            <w:u w:val="single"/>
            <w:sz w:val="19"/>
          </w:rPr>
          <w:t>Thread item “14”</w:t>
        </w:r>
      </w:hyperlink>
    </w:p>
    <w:p>
      <w:pPr>
        <w:pStyle w:val="Heading2"/>
        <w:spacing w:before="120"/>
      </w:pPr>
      <w:r>
        <w:t>15. Node.js October security releases</w:t>
      </w:r>
    </w:p>
    <w:p>
      <w:pPr>
        <w:spacing w:after="100"/>
      </w:pPr>
      <w:r>
        <w:rPr>
          <w:i/>
          <w:sz w:val="19"/>
        </w:rPr>
        <w:t>High priority  |  Runtime vulnerabilities • Releases available 21 October 2026</w:t>
      </w:r>
    </w:p>
    <w:p>
      <w:pPr>
        <w:spacing w:after="80"/>
      </w:pPr>
      <w:r>
        <w:t>Node.js released 26.12.1, 24.22.1 and 22.23.4. High-severity issues include DNS handling, TLS hostname validation and Brotli decoder code execution. The releases also update certificate trust following eMudhra. Individual vulnerabilities have different affected-version ranges.</w:t>
      </w:r>
      <w:r>
        <w:rPr>
          <w:b/>
        </w:rPr>
        <w:t xml:space="preserve"> Impact and reach. </w:t>
      </w:r>
      <w:r>
        <w:t>Affected Node.js applications, developer tools and service images. Deployment counts and successful exploitation totals are not established.</w:t>
      </w:r>
    </w:p>
    <w:p>
      <w:pPr>
        <w:spacing w:after="80"/>
      </w:pPr>
      <w:r>
        <w:rPr>
          <w:b/>
        </w:rPr>
        <w:t xml:space="preserve">Required action. </w:t>
      </w:r>
      <w:r>
        <w:t>Platform owners: update the appropriate supported branch, rebuild images, and verify deployed versions. Assess vulnerable features and migrate end-of-life runtimes.</w:t>
      </w:r>
    </w:p>
    <w:p>
      <w:pPr>
        <w:spacing w:after="60"/>
      </w:pPr>
      <w:hyperlink r:id="rId37">
        <w:r>
          <w:rPr>
            <w:color w:val="245579"/>
            <w:u w:val="single"/>
            <w:sz w:val="19"/>
          </w:rPr>
          <w:t>Node.js security release</w:t>
        </w:r>
      </w:hyperlink>
      <w:r>
        <w:t xml:space="preserve">  ·  </w:t>
      </w:r>
      <w:hyperlink r:id="rId38">
        <w:r>
          <w:rPr>
            <w:color w:val="245579"/>
            <w:u w:val="single"/>
            <w:sz w:val="19"/>
          </w:rPr>
          <w:t>Thread item “14 nodejs”</w:t>
        </w:r>
      </w:hyperlink>
    </w:p>
    <w:p>
      <w:pPr>
        <w:pStyle w:val="Heading2"/>
        <w:spacing w:before="120"/>
      </w:pPr>
      <w:r>
        <w:t>16. NSA reminder: Cisco Smart Install exposure</w:t>
      </w:r>
    </w:p>
    <w:p>
      <w:pPr>
        <w:spacing w:after="100"/>
      </w:pPr>
      <w:r>
        <w:rPr>
          <w:i/>
          <w:sz w:val="19"/>
        </w:rPr>
        <w:t>High priority  |  Reshared advisory • NSA document originally dated 7 August 2017</w:t>
      </w:r>
    </w:p>
    <w:p>
      <w:pPr>
        <w:spacing w:after="80"/>
      </w:pPr>
      <w:r>
        <w:t>NSA’s post repeats guidance on Cisco Smart Install, a legacy provisioning feature. Exposed deployments can enable configuration theft or changes and network disruption. This is an older documented risk, not evidence of a newly discovered October 2026 breach.</w:t>
      </w:r>
      <w:r>
        <w:rPr>
          <w:b/>
        </w:rPr>
        <w:t xml:space="preserve"> Impact and reach. </w:t>
      </w:r>
      <w:r>
        <w:t>Relevant Cisco IOS/IOS XE devices with Smart Install enabled and reachable from untrusted networks; an open port alone does not prove compromise.</w:t>
      </w:r>
    </w:p>
    <w:p>
      <w:pPr>
        <w:spacing w:after="80"/>
      </w:pPr>
      <w:r>
        <w:rPr>
          <w:b/>
        </w:rPr>
        <w:t xml:space="preserve">Required action. </w:t>
      </w:r>
      <w:r>
        <w:t>Network owners: confirm whether Smart Install is required, disable it when unused, restrict management access, and apply vendor fixes. Compare configurations with trusted baselines and investigate unexplained changes.</w:t>
      </w:r>
    </w:p>
    <w:p>
      <w:pPr>
        <w:spacing w:after="60"/>
      </w:pPr>
      <w:hyperlink r:id="rId39">
        <w:r>
          <w:rPr>
            <w:color w:val="245579"/>
            <w:u w:val="single"/>
            <w:sz w:val="19"/>
          </w:rPr>
          <w:t>NSA advisory</w:t>
        </w:r>
      </w:hyperlink>
      <w:r>
        <w:t xml:space="preserve">  ·  </w:t>
      </w:r>
      <w:hyperlink r:id="rId40">
        <w:r>
          <w:rPr>
            <w:color w:val="245579"/>
            <w:u w:val="single"/>
            <w:sz w:val="19"/>
          </w:rPr>
          <w:t>Cisco guidance</w:t>
        </w:r>
      </w:hyperlink>
      <w:r>
        <w:t xml:space="preserve">  ·  </w:t>
      </w:r>
      <w:hyperlink r:id="rId41">
        <w:r>
          <w:rPr>
            <w:color w:val="245579"/>
            <w:u w:val="single"/>
            <w:sz w:val="19"/>
          </w:rPr>
          <w:t>Thread item 16</w:t>
        </w:r>
      </w:hyperlink>
    </w:p>
    <w:p>
      <w:pPr>
        <w:pStyle w:val="Heading1"/>
        <w:pageBreakBefore/>
        <w:spacing w:before="0"/>
      </w:pPr>
      <w:r>
        <w:t>Cloud platforms and official release compromise</w:t>
      </w:r>
    </w:p>
    <w:p>
      <w:pPr>
        <w:pStyle w:val="Heading2"/>
      </w:pPr>
      <w:r>
        <w:t>17. Railway customer secrets exposure</w:t>
      </w:r>
    </w:p>
    <w:p>
      <w:pPr>
        <w:spacing w:after="100"/>
      </w:pPr>
      <w:r>
        <w:rPr>
          <w:i/>
          <w:sz w:val="19"/>
        </w:rPr>
        <w:t>Critical priority  |  Supplier incident disclosed 21 October 2026</w:t>
      </w:r>
    </w:p>
    <w:p>
      <w:r>
        <w:t>Railway reports possible unauthorized access to encrypted environment variables and decrypted contents for some of them. Deployments were paused in its initial notice. The affected subset is still being determined.</w:t>
      </w:r>
    </w:p>
    <w:p>
      <w:r>
        <w:rPr>
          <w:b/>
        </w:rPr>
        <w:t xml:space="preserve">Impact and reach. </w:t>
      </w:r>
      <w:r>
        <w:t>Customers storing API keys, database passwords or private registry credentials on Railway; no confirmed affected-user total. The precautionary action applies to all users.</w:t>
      </w:r>
    </w:p>
    <w:p>
      <w:r>
        <w:rPr>
          <w:b/>
        </w:rPr>
        <w:t xml:space="preserve">Required action. </w:t>
      </w:r>
      <w:r>
        <w:t>Application owners: replace all Railway-stored secrets and private registry credentials at their issuing services, then review access and billing logs. Check deployment status before planning recovery.</w:t>
      </w:r>
    </w:p>
    <w:p>
      <w:pPr>
        <w:spacing w:after="120"/>
      </w:pPr>
      <w:hyperlink r:id="rId42">
        <w:r>
          <w:rPr>
            <w:color w:val="245579"/>
            <w:u w:val="single"/>
            <w:sz w:val="19"/>
          </w:rPr>
          <w:t>Railway disclosure</w:t>
        </w:r>
      </w:hyperlink>
    </w:p>
    <w:p>
      <w:pPr>
        <w:pStyle w:val="Heading2"/>
      </w:pPr>
      <w:r>
        <w:t>18. Zeabur infrastructure and secrets compromise</w:t>
      </w:r>
    </w:p>
    <w:p>
      <w:pPr>
        <w:spacing w:after="100"/>
      </w:pPr>
      <w:r>
        <w:rPr>
          <w:i/>
          <w:sz w:val="19"/>
        </w:rPr>
        <w:t>Critical priority  |  Intrusion on 14 and 15 October 2026</w:t>
      </w:r>
    </w:p>
    <w:p>
      <w:r>
        <w:t>Leaked internal credentials enabled access to shared clusters, some dedicated servers and the platform database. Zeabur confirms environment-variable reads and database access; its investigation distinguishes confirmed access from gaps in logging.</w:t>
      </w:r>
    </w:p>
    <w:p>
      <w:r>
        <w:rPr>
          <w:b/>
        </w:rPr>
        <w:t xml:space="preserve">Impact and reach. </w:t>
      </w:r>
      <w:r>
        <w:t>Primarily shared-cluster and GCP Dedicated Server workloads. Variables already moved to customers' dedicated servers were outside the platform-database read. No unique affected-user total is established.</w:t>
      </w:r>
    </w:p>
    <w:p>
      <w:r>
        <w:rPr>
          <w:b/>
        </w:rPr>
        <w:t xml:space="preserve">Required action. </w:t>
      </w:r>
      <w:r>
        <w:t>Platform owners: replace every password and key stored on Zeabur, including credentials changed after August. Review affected databases and workloads, revoke unauthorized access, and follow vendor guidance for rebuilding compromised servers.</w:t>
      </w:r>
    </w:p>
    <w:p>
      <w:pPr>
        <w:spacing w:after="120"/>
      </w:pPr>
      <w:hyperlink r:id="rId43">
        <w:r>
          <w:rPr>
            <w:color w:val="245579"/>
            <w:u w:val="single"/>
            <w:sz w:val="19"/>
          </w:rPr>
          <w:t>Zeabur preliminary report</w:t>
        </w:r>
      </w:hyperlink>
    </w:p>
    <w:p>
      <w:pPr>
        <w:pStyle w:val="Heading2"/>
      </w:pPr>
      <w:r>
        <w:t>19. OVHcloud CLI malicious release binaries</w:t>
      </w:r>
    </w:p>
    <w:p>
      <w:pPr>
        <w:spacing w:after="100"/>
      </w:pPr>
      <w:r>
        <w:rPr>
          <w:i/>
          <w:sz w:val="19"/>
        </w:rPr>
        <w:t>Critical priority  |  Malicious downloads on 19 October 2026</w:t>
      </w:r>
    </w:p>
    <w:p>
      <w:r>
        <w:t>A compromised developer account replaced official v0.11.0 to v0.15.0 binary assets between 12:47 and 14:21 UTC. Source code and the build chain were unaffected. Version 0.16.0 is unaffected.</w:t>
      </w:r>
    </w:p>
    <w:p>
      <w:r>
        <w:rPr>
          <w:b/>
        </w:rPr>
        <w:t xml:space="preserve">Impact and reach. </w:t>
      </w:r>
      <w:r>
        <w:t>People who downloaded an affected binary in that window and executed it. OVHcloud reports about 250 downloads; that is not a confirmed user or compromise count. The payload targeted cloud, developer and AI-tool secrets.</w:t>
      </w:r>
    </w:p>
    <w:p>
      <w:r>
        <w:rPr>
          <w:b/>
        </w:rPr>
        <w:t xml:space="preserve">Required action. </w:t>
      </w:r>
      <w:r>
        <w:t>Engineering owners: compare file hashes with the advisory without executing suspect binaries. Isolate affected hosts, investigate accessible credentials, rotate them from a clean environment and reinstall a verified release.</w:t>
      </w:r>
    </w:p>
    <w:p>
      <w:pPr>
        <w:spacing w:after="120"/>
      </w:pPr>
      <w:hyperlink r:id="rId44">
        <w:r>
          <w:rPr>
            <w:color w:val="245579"/>
            <w:u w:val="single"/>
            <w:sz w:val="19"/>
          </w:rPr>
          <w:t>OVHcloud advisory</w:t>
        </w:r>
      </w:hyperlink>
    </w:p>
    <w:p>
      <w:pPr>
        <w:pStyle w:val="Heading1"/>
        <w:pageBreakBefore/>
        <w:spacing w:before="0"/>
      </w:pPr>
      <w:r>
        <w:t>Website management and backup services</w:t>
      </w:r>
    </w:p>
    <w:p>
      <w:pPr>
        <w:pStyle w:val="Heading2"/>
      </w:pPr>
      <w:r>
        <w:t>20. Rank Math PRO malicious plugin distribution</w:t>
      </w:r>
    </w:p>
    <w:p>
      <w:pPr>
        <w:spacing w:after="100"/>
      </w:pPr>
      <w:r>
        <w:rPr>
          <w:i/>
          <w:sz w:val="19"/>
        </w:rPr>
        <w:t>Critical priority  |  Affected distribution window on 15 and 16 October 2026</w:t>
      </w:r>
    </w:p>
    <w:p>
      <w:r>
        <w:t>Some PRO 3.0.123 copies downloaded or updated between 15 October 20:02 UTC and 16 October 07:12 UTC contained malware. Activating an affected copy could establish persistence beyond the plugin directory.</w:t>
      </w:r>
    </w:p>
    <w:p>
      <w:r>
        <w:rPr>
          <w:b/>
        </w:rPr>
        <w:t xml:space="preserve">Impact and reach. </w:t>
      </w:r>
      <w:r>
        <w:t>WordPress sites that received affected copies; the version number alone does not prove compromise. Total affected sites are not established here.</w:t>
      </w:r>
    </w:p>
    <w:p>
      <w:r>
        <w:rPr>
          <w:b/>
        </w:rPr>
        <w:t xml:space="preserve">Required action. </w:t>
      </w:r>
      <w:r>
        <w:t>Website owners: follow the vendor's recovery sequence. If activated, treat the site as compromised, restore or clean the wider installation, and replace accessible secrets. Installing clean 3.0.124 alone does not remove established persistence.</w:t>
      </w:r>
    </w:p>
    <w:p>
      <w:pPr>
        <w:spacing w:after="120"/>
      </w:pPr>
      <w:hyperlink r:id="rId45">
        <w:r>
          <w:rPr>
            <w:color w:val="245579"/>
            <w:u w:val="single"/>
            <w:sz w:val="19"/>
          </w:rPr>
          <w:t>Rank Math recovery guidance</w:t>
        </w:r>
      </w:hyperlink>
      <w:r>
        <w:t xml:space="preserve">  ·  </w:t>
      </w:r>
      <w:hyperlink r:id="rId46">
        <w:r>
          <w:rPr>
            <w:color w:val="245579"/>
            <w:u w:val="single"/>
            <w:sz w:val="19"/>
          </w:rPr>
          <w:t>Wordfence analysis</w:t>
        </w:r>
      </w:hyperlink>
    </w:p>
    <w:p>
      <w:pPr>
        <w:pStyle w:val="Heading2"/>
      </w:pPr>
      <w:r>
        <w:t>21. TeamUpdraft customer data and connected site access</w:t>
      </w:r>
    </w:p>
    <w:p>
      <w:pPr>
        <w:spacing w:after="100"/>
      </w:pPr>
      <w:r>
        <w:rPr>
          <w:i/>
          <w:sz w:val="19"/>
        </w:rPr>
        <w:t>Critical priority  |  Incident identified 17 and 18 October 2026</w:t>
      </w:r>
    </w:p>
    <w:p>
      <w:r>
        <w:t>TeamUpdraft believes its customer database was accessed, including account records and service connection keys. Its update confirms attackers used connected-site access to create administrators and install malicious plugins. UpdraftPlus distribution itself was unaffected.</w:t>
      </w:r>
    </w:p>
    <w:p>
      <w:r>
        <w:rPr>
          <w:b/>
        </w:rPr>
        <w:t xml:space="preserve">Impact and reach. </w:t>
      </w:r>
      <w:r>
        <w:t>TeamUpdraft account holders and connected cloud-service users. Premium users should inspect sites even without prior UpdraftCentral use. Self-hosted UpdraftCentral is excluded by the vendor.</w:t>
      </w:r>
    </w:p>
    <w:p>
      <w:r>
        <w:rPr>
          <w:b/>
        </w:rPr>
        <w:t xml:space="preserve">Required action. </w:t>
      </w:r>
      <w:r>
        <w:t>Website owners: reset account passwords and MFA; verify UpdraftPlus 1.26.13 or 2.26.13 or later. Check administrators, plugins and persistence, revoke old connections and follow product-specific recovery guidance before reconnecting.</w:t>
      </w:r>
    </w:p>
    <w:p>
      <w:pPr>
        <w:spacing w:after="120"/>
      </w:pPr>
      <w:hyperlink r:id="rId47">
        <w:r>
          <w:rPr>
            <w:color w:val="245579"/>
            <w:u w:val="single"/>
            <w:sz w:val="19"/>
          </w:rPr>
          <w:t>TeamUpdraft incident and customer actions</w:t>
        </w:r>
      </w:hyperlink>
    </w:p>
    <w:p>
      <w:pPr>
        <w:pStyle w:val="Heading2"/>
      </w:pPr>
      <w:r>
        <w:t>22. ConnectWise Cloud Backup application identities</w:t>
      </w:r>
    </w:p>
    <w:p>
      <w:pPr>
        <w:spacing w:after="100"/>
      </w:pPr>
      <w:r>
        <w:rPr>
          <w:i/>
          <w:sz w:val="19"/>
        </w:rPr>
        <w:t>Critical priority  |  Controlled restoration underway on 21 October 2026</w:t>
      </w:r>
    </w:p>
    <w:p>
      <w:r>
        <w:t>Unauthorized access affected Cloud Backup application credentials. ConnectWise began phased restoration, while requiring customer-tenant investigation. It reports no indication that encrypted backup archives were compromised; this does not establish the safety of live Microsoft 365 tenants.</w:t>
      </w:r>
    </w:p>
    <w:p>
      <w:r>
        <w:rPr>
          <w:b/>
        </w:rPr>
        <w:t xml:space="preserve">Impact and reach. </w:t>
      </w:r>
      <w:r>
        <w:t>Partners and customer tenants with affected Cloud Backup or Cloud Management connections, including dormant SkyKick integrations. Unique affected-user totals remain unconfirmed.</w:t>
      </w:r>
    </w:p>
    <w:p>
      <w:r>
        <w:rPr>
          <w:b/>
        </w:rPr>
        <w:t xml:space="preserve">Required action. </w:t>
      </w:r>
      <w:r>
        <w:t>MSP and identity owners: keep affected connections disabled until formal instructions apply. Preserve logs and inspect each tenant's applications, credentials, grants and administrator roles. Investigate persistence and validate independent recovery access.</w:t>
      </w:r>
    </w:p>
    <w:p>
      <w:pPr>
        <w:spacing w:after="120"/>
      </w:pPr>
      <w:hyperlink r:id="rId48">
        <w:r>
          <w:rPr>
            <w:color w:val="245579"/>
            <w:u w:val="single"/>
            <w:sz w:val="19"/>
          </w:rPr>
          <w:t>ConnectWise Trust Center and remediation guide</w:t>
        </w:r>
      </w:hyperlink>
    </w:p>
    <w:p>
      <w:pPr>
        <w:pStyle w:val="Heading1"/>
        <w:pageBreakBefore/>
        <w:spacing w:before="0"/>
      </w:pPr>
      <w:r>
        <w:t>Packages workflows and developer credentials</w:t>
      </w:r>
    </w:p>
    <w:p>
      <w:pPr>
        <w:pStyle w:val="Heading2"/>
      </w:pPr>
      <w:r>
        <w:t>23. Tensorlake malicious npm packages</w:t>
      </w:r>
    </w:p>
    <w:p>
      <w:pPr>
        <w:spacing w:after="100"/>
      </w:pPr>
      <w:r>
        <w:rPr>
          <w:i/>
          <w:sz w:val="19"/>
        </w:rPr>
        <w:t>Critical priority  |  Unauthorized npm release on 8 October 2026</w:t>
      </w:r>
    </w:p>
    <w:p>
      <w:r>
        <w:t>tensorlake 0.5.144 and listed native packages carried a credential stealer through the project's own release workflow. Installation could steal cloud and AI-tool secrets and plant a destructive token-monitor service. PyPI and crates.io packages were excluded.</w:t>
      </w:r>
    </w:p>
    <w:p>
      <w:r>
        <w:rPr>
          <w:b/>
        </w:rPr>
        <w:t xml:space="preserve">Impact and reach. </w:t>
      </w:r>
      <w:r>
        <w:t>Developer machines and CI systems that installed the affected npm versions with scripts enabled. Usage telemetry does not measure installation-time compromise; victim totals are unknown.</w:t>
      </w:r>
    </w:p>
    <w:p>
      <w:r>
        <w:rPr>
          <w:b/>
        </w:rPr>
        <w:t xml:space="preserve">Required action. </w:t>
      </w:r>
      <w:r>
        <w:t>Engineering owners: isolate affected hosts. Follow the vendor's sequence to remove gh-token-monitor before revoking GitHub tokens, then rotate credentials from a clean machine, inspect writable repositories and packages, and rebuild hosts. Use a verified unaffected version.</w:t>
      </w:r>
    </w:p>
    <w:p>
      <w:pPr>
        <w:spacing w:after="120"/>
      </w:pPr>
      <w:hyperlink r:id="rId49">
        <w:r>
          <w:rPr>
            <w:color w:val="245579"/>
            <w:u w:val="single"/>
            <w:sz w:val="19"/>
          </w:rPr>
          <w:t>Tensorlake advisory and recovery sequence</w:t>
        </w:r>
      </w:hyperlink>
    </w:p>
    <w:p>
      <w:pPr>
        <w:pStyle w:val="Heading2"/>
      </w:pPr>
      <w:r>
        <w:t>24. SubQuery backdoored npm dependency</w:t>
      </w:r>
    </w:p>
    <w:p>
      <w:pPr>
        <w:spacing w:after="100"/>
      </w:pPr>
      <w:r>
        <w:rPr>
          <w:i/>
          <w:sz w:val="19"/>
        </w:rPr>
        <w:t>Critical priority  |  Malicious common package published 5 October 2026</w:t>
      </w:r>
    </w:p>
    <w:p>
      <w:r>
        <w:t>Researchers found credential theft and remote-command capability in @subql/common 5.8.3. The malicious release used a modified publishing workflow and could start on installation or import.</w:t>
      </w:r>
    </w:p>
    <w:p>
      <w:r>
        <w:rPr>
          <w:b/>
        </w:rPr>
        <w:t xml:space="preserve">Impact and reach. </w:t>
      </w:r>
      <w:r>
        <w:t>Direct and transitive consumers resolving the affected package, especially developer workstations and CI runners. Package reach is not a count of compromised users.</w:t>
      </w:r>
    </w:p>
    <w:p>
      <w:r>
        <w:rPr>
          <w:b/>
        </w:rPr>
        <w:t xml:space="preserve">Required action. </w:t>
      </w:r>
      <w:r>
        <w:t>Engineering owners: block 5.8.3, inspect lockfiles and executed builds, isolate affected runners and rotate reachable secrets from clean systems. Use a verified unaffected version. Disabling install scripts alone does not prevent the import trigger.</w:t>
      </w:r>
    </w:p>
    <w:p>
      <w:pPr>
        <w:spacing w:after="120"/>
      </w:pPr>
      <w:hyperlink r:id="rId50">
        <w:r>
          <w:rPr>
            <w:color w:val="245579"/>
            <w:u w:val="single"/>
            <w:sz w:val="19"/>
          </w:rPr>
          <w:t>StepSecurity investigation</w:t>
        </w:r>
      </w:hyperlink>
      <w:r>
        <w:t xml:space="preserve">  ·  </w:t>
      </w:r>
      <w:hyperlink r:id="rId51">
        <w:r>
          <w:rPr>
            <w:color w:val="245579"/>
            <w:u w:val="single"/>
            <w:sz w:val="19"/>
          </w:rPr>
          <w:t>GMO Flatt Security analysis</w:t>
        </w:r>
      </w:hyperlink>
    </w:p>
    <w:p>
      <w:pPr>
        <w:pStyle w:val="Heading2"/>
      </w:pPr>
      <w:r>
        <w:t>25. GhostAction malicious GitHub workflows</w:t>
      </w:r>
    </w:p>
    <w:p>
      <w:pPr>
        <w:spacing w:after="100"/>
      </w:pPr>
      <w:r>
        <w:rPr>
          <w:i/>
          <w:sz w:val="19"/>
        </w:rPr>
        <w:t>Critical priority  |  October 2026 wave of a campaign tracked since 2025</w:t>
      </w:r>
    </w:p>
    <w:p>
      <w:r>
        <w:t>GitGuardian reports workflow injection through compromised accounts, harvesting CI secrets and repository history. Its October dataset covers more than 30,000 targeted repositories and about 1,900 compromised accounts; attempted extraction is not proof that every targeted secret was stolen.</w:t>
      </w:r>
    </w:p>
    <w:p>
      <w:r>
        <w:rPr>
          <w:b/>
        </w:rPr>
        <w:t xml:space="preserve">Impact and reach. </w:t>
      </w:r>
      <w:r>
        <w:t>Repositories and automation reachable through compromised developer identities, including cloud and AI credentials present in CI or history. Repository counts are not end-user counts.</w:t>
      </w:r>
    </w:p>
    <w:p>
      <w:r>
        <w:rPr>
          <w:b/>
        </w:rPr>
        <w:t xml:space="preserve">Required action. </w:t>
      </w:r>
      <w:r>
        <w:t>Repository owners: inspect workflow changes and run history, disable malicious jobs, and revoke the credential that permitted injection as well as exposed downstream secrets. Review old implants and enforce approval and least-privilege controls.</w:t>
      </w:r>
    </w:p>
    <w:p>
      <w:pPr>
        <w:spacing w:after="120"/>
      </w:pPr>
      <w:hyperlink r:id="rId52">
        <w:r>
          <w:rPr>
            <w:color w:val="245579"/>
            <w:u w:val="single"/>
            <w:sz w:val="19"/>
          </w:rPr>
          <w:t>GitGuardian campaign tracking</w:t>
        </w:r>
      </w:hyperlink>
    </w:p>
    <w:p>
      <w:pPr>
        <w:pStyle w:val="Heading1"/>
        <w:pageBreakBefore/>
        <w:spacing w:before="0"/>
      </w:pPr>
      <w:r>
        <w:t>Certificate remediation across connected systems</w:t>
      </w:r>
    </w:p>
    <w:p>
      <w:pPr>
        <w:pStyle w:val="Heading2"/>
      </w:pPr>
      <w:r>
        <w:t>26. Tailscale response to the eMudhra certificate incident</w:t>
      </w:r>
    </w:p>
    <w:p>
      <w:pPr>
        <w:spacing w:after="100"/>
      </w:pPr>
      <w:r>
        <w:rPr>
          <w:i/>
          <w:sz w:val="19"/>
        </w:rPr>
        <w:t>High priority  |  TS 2026 013 published 21 October 2026</w:t>
      </w:r>
    </w:p>
    <w:p>
      <w:r>
        <w:t>Tailscale uses operating-system certificate trust for TLS. Version 1.104.2 or later explicitly distrusts the compromised eMudhra certificates. Its internal services were updated. Standard node-to-node WireGuard traffic does not depend on public Web PKI and is unaffected.</w:t>
      </w:r>
    </w:p>
    <w:p>
      <w:r>
        <w:rPr>
          <w:b/>
        </w:rPr>
        <w:t xml:space="preserve">Impact and reach. </w:t>
      </w:r>
      <w:r>
        <w:t>Devices retaining the affected certificate trust. This is downstream remediation of issue 06, not evidence of a separate Tailscale breach or a new victim count.</w:t>
      </w:r>
    </w:p>
    <w:p>
      <w:r>
        <w:rPr>
          <w:b/>
        </w:rPr>
        <w:t xml:space="preserve">Required action. </w:t>
      </w:r>
      <w:r>
        <w:t>Endpoint owners: update to Tailscale 1.104.2 or later and maintain host trust-store updates. Verify installed versions across managed devices. Retain TLS verification.</w:t>
      </w:r>
    </w:p>
    <w:p>
      <w:pPr>
        <w:spacing w:after="120"/>
      </w:pPr>
      <w:hyperlink r:id="rId53">
        <w:r>
          <w:rPr>
            <w:color w:val="245579"/>
            <w:u w:val="single"/>
            <w:sz w:val="19"/>
          </w:rPr>
          <w:t>Tailscale security bulletin TS 2026 013</w:t>
        </w:r>
      </w:hyperlink>
    </w:p>
    <w:p>
      <w:r>
        <w:rPr>
          <w:b/>
        </w:rPr>
        <w:t xml:space="preserve">Counting method. </w:t>
      </w:r>
      <w:r>
        <w:t>Numbering preserves the original 16 topics and adds 17 to 26. PHP issue 12 overlaps 01; Tailscale issue 26 is remediation related to eMudhra issue 06. Merging those pairs and excluding the partly verified iPhone watch item leaves 23 baseline network themes. Counts are not affected-user totals.</w:t>
      </w:r>
    </w:p>
    <w:p>
      <w:pPr>
        <w:pStyle w:val="Heading2"/>
      </w:pPr>
      <w:r>
        <w:t>What the expanded list changes</w:t>
      </w:r>
    </w:p>
    <w:p>
      <w:r>
        <w:t>The added incidents make credential propagation and trusted distribution the clearest operational overlap. A supplier account, publishing workflow or remote-management connection can reach systems outside the initially affected product. The network model now covers 23 themes across six exposure areas; it describes shared controls, not a single proven attack chain.</w:t>
      </w:r>
    </w:p>
    <w:p>
      <w:r>
        <w:rPr>
          <w:b/>
        </w:rPr>
        <w:t xml:space="preserve">Recovery sequencing. </w:t>
      </w:r>
      <w:r>
        <w:t>Contain compromised hosts and preserve evidence before reconnecting systems. Tensorlake requires the vendor-specific token-monitor removal sequence before GitHub-token revocation. For cloud backup and website management, examine downstream tenants and sites even after the supplier has contained its own environment.</w:t>
      </w:r>
    </w:p>
    <w:p>
      <w:r>
        <w:rPr>
          <w:b/>
        </w:rPr>
        <w:t xml:space="preserve">Exposure assessment. </w:t>
      </w:r>
      <w:r>
        <w:t>Record deployed versions, download times, identities, accessible secrets and dependent customer services. Treat unknown victim counts as unknown. Review current vendor notices before changing production systems.</w:t>
      </w:r>
    </w:p>
    <w:p>
      <w:hyperlink r:id="rId54">
        <w:r>
          <w:rPr>
            <w:color w:val="245579"/>
            <w:u w:val="single"/>
            <w:sz w:val="19"/>
          </w:rPr>
          <w:t>Updated Cyberpolycrisis network map</w:t>
        </w:r>
      </w:hyperlink>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22 October 2026 UTC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NICHOLAS (NICCOLO) ROBERTS  |  TECHNOLOGY &amp;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2" w:lineRule="auto"/>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120" w:line="252" w:lineRule="auto"/>
    </w:pPr>
    <w:rPr>
      <w:rFonts w:ascii="Liberation Sans" w:hAnsi="Liberation Sans"/>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52" w:lineRule="auto"/>
    </w:pPr>
    <w:rPr>
      <w:rFonts w:ascii="Liberation Sans" w:hAnsi="Liberation Sans"/>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20" w:line="252" w:lineRule="auto"/>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line="252" w:lineRule="auto"/>
      <w:outlineLvl w:val="2"/>
    </w:pPr>
    <w:rPr>
      <w:rFonts w:asciiTheme="majorHAnsi" w:eastAsiaTheme="majorEastAsia" w:hAnsiTheme="majorHAnsi" w:cstheme="majorBidi" w:ascii="Liberation Sans" w:hAnsi="Liberation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Liberation Sans" w:hAnsi="Liberation Sans"/>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2" w:lineRule="auto"/>
    </w:pPr>
    <w:rPr>
      <w:rFonts w:asciiTheme="majorHAnsi" w:eastAsiaTheme="majorEastAsia" w:hAnsiTheme="majorHAnsi" w:cstheme="majorBidi"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x.com/niccolox/status/2112815242078274042" TargetMode="External"/><Relationship Id="rId12" Type="http://schemas.openxmlformats.org/officeDocument/2006/relationships/hyperlink" Target="https://niccolox.github.io/writing/the-cybersecurity-polycrisis/" TargetMode="External"/><Relationship Id="rId13" Type="http://schemas.openxmlformats.org/officeDocument/2006/relationships/hyperlink" Target="https://www.php.net/archive/2026.php" TargetMode="External"/><Relationship Id="rId14" Type="http://schemas.openxmlformats.org/officeDocument/2006/relationships/hyperlink" Target="https://cert.europa.eu/publications/security-advisories/2026-018" TargetMode="External"/><Relationship Id="rId15" Type="http://schemas.openxmlformats.org/officeDocument/2006/relationships/hyperlink" Target="https://status.cloud.google.com/incidents/Xs2XTHzAVC9YnafnPyzj" TargetMode="External"/><Relationship Id="rId16" Type="http://schemas.openxmlformats.org/officeDocument/2006/relationships/hyperlink" Target="https://committees.parliament.uk/committee/158/treasury-committee/news/218364/google-cloud-outage-bank-of-england-and-fca-letter-published/" TargetMode="External"/><Relationship Id="rId17" Type="http://schemas.openxmlformats.org/officeDocument/2006/relationships/hyperlink" Target="https://norforge.com/blog/inside_cairn" TargetMode="External"/><Relationship Id="rId18" Type="http://schemas.openxmlformats.org/officeDocument/2006/relationships/hyperlink" Target="https://www.govinfo.gov/content/pkg/FR-2026-10-20/html/2026-21447.htm" TargetMode="External"/><Relationship Id="rId19" Type="http://schemas.openxmlformats.org/officeDocument/2006/relationships/hyperlink" Target="https://blogs.microsoft.com/blog/2026/10/19/securing-the-agentic-insider/" TargetMode="External"/><Relationship Id="rId20" Type="http://schemas.openxmlformats.org/officeDocument/2006/relationships/hyperlink" Target="https://blog.cloudflare.com/emudhra-certificate-compromise/" TargetMode="External"/><Relationship Id="rId21" Type="http://schemas.openxmlformats.org/officeDocument/2006/relationships/hyperlink" Target="https://x.com/niccolox/status/2112947873109401691" TargetMode="External"/><Relationship Id="rId22" Type="http://schemas.openxmlformats.org/officeDocument/2006/relationships/hyperlink" Target="https://x.com/opencode/status/2111519637049319818" TargetMode="External"/><Relationship Id="rId23" Type="http://schemas.openxmlformats.org/officeDocument/2006/relationships/hyperlink" Target="https://lightning.ai/blog/oct-2026-incident/" TargetMode="External"/><Relationship Id="rId24" Type="http://schemas.openxmlformats.org/officeDocument/2006/relationships/hyperlink" Target="https://www.pingcap.com/trust-hub/security/security-update-october-2026/" TargetMode="External"/><Relationship Id="rId25" Type="http://schemas.openxmlformats.org/officeDocument/2006/relationships/hyperlink" Target="https://www.pingcap.com/ko/trust-hub/security/customer-actions-october-2026/" TargetMode="External"/><Relationship Id="rId26" Type="http://schemas.openxmlformats.org/officeDocument/2006/relationships/hyperlink" Target="https://x.com/niccolox/status/2112815663693877441" TargetMode="External"/><Relationship Id="rId27" Type="http://schemas.openxmlformats.org/officeDocument/2006/relationships/hyperlink" Target="https://research.jfrog.com/post/litellm-hijacked-again/" TargetMode="External"/><Relationship Id="rId28" Type="http://schemas.openxmlformats.org/officeDocument/2006/relationships/hyperlink" Target="https://x.com/niccolox/status/2112945813542637969" TargetMode="External"/><Relationship Id="rId29" Type="http://schemas.openxmlformats.org/officeDocument/2006/relationships/hyperlink" Target="https://justin.sh/blog/2026/10/cellebrite-advanced-unlocks/" TargetMode="External"/><Relationship Id="rId30" Type="http://schemas.openxmlformats.org/officeDocument/2006/relationships/hyperlink" Target="https://support.apple.com/en-us/149041" TargetMode="External"/><Relationship Id="rId31" Type="http://schemas.openxmlformats.org/officeDocument/2006/relationships/hyperlink" Target="https://x.com/niccolox/status/2112949467997708683" TargetMode="External"/><Relationship Id="rId32" Type="http://schemas.openxmlformats.org/officeDocument/2006/relationships/hyperlink" Target="https://x.com/niccolox/status/2112952756436930970" TargetMode="External"/><Relationship Id="rId33" Type="http://schemas.openxmlformats.org/officeDocument/2006/relationships/hyperlink" Target="https://www.security.com/threat-intelligence/ai-llmjacking-skynet" TargetMode="External"/><Relationship Id="rId34" Type="http://schemas.openxmlformats.org/officeDocument/2006/relationships/hyperlink" Target="https://x.com/niccolox/status/2112953688990085334" TargetMode="External"/><Relationship Id="rId35" Type="http://schemas.openxmlformats.org/officeDocument/2006/relationships/hyperlink" Target="https://x.com/oegerikus/status/2112812380505751680" TargetMode="External"/><Relationship Id="rId36" Type="http://schemas.openxmlformats.org/officeDocument/2006/relationships/hyperlink" Target="https://x.com/niccolox/status/2112955132384251949" TargetMode="External"/><Relationship Id="rId37" Type="http://schemas.openxmlformats.org/officeDocument/2006/relationships/hyperlink" Target="https://nodejs.org/en/blog/vulnerability/october-2026-security-releases" TargetMode="External"/><Relationship Id="rId38" Type="http://schemas.openxmlformats.org/officeDocument/2006/relationships/hyperlink" Target="https://x.com/niccolox/status/2112955625340801508" TargetMode="External"/><Relationship Id="rId39" Type="http://schemas.openxmlformats.org/officeDocument/2006/relationships/hyperlink" Target="https://www.nsa.gov/portals/75/documents/what-we-do/cybersecurity/professional-resources/csa-cisco-smart-install-protocol-misuse.pdf?v=1" TargetMode="External"/><Relationship Id="rId40" Type="http://schemas.openxmlformats.org/officeDocument/2006/relationships/hyperlink" Target="https://www.cisco.com/c/en/us/support/docs/csa/cisco-sa-20180409-smi.html" TargetMode="External"/><Relationship Id="rId41" Type="http://schemas.openxmlformats.org/officeDocument/2006/relationships/hyperlink" Target="https://x.com/niccolox/status/2112957991284826273" TargetMode="External"/><Relationship Id="rId42" Type="http://schemas.openxmlformats.org/officeDocument/2006/relationships/hyperlink" Target="https://blog.railway.com/p/security-disclosure-wednesday-october-21st" TargetMode="External"/><Relationship Id="rId43" Type="http://schemas.openxmlformats.org/officeDocument/2006/relationships/hyperlink" Target="https://zeabur.com/blogs/october-2026-security-incident" TargetMode="External"/><Relationship Id="rId44" Type="http://schemas.openxmlformats.org/officeDocument/2006/relationships/hyperlink" Target="https://github.com/ovh/ovhcloud-cli/security/advisories/GHSA-862f-55f5-vmvw" TargetMode="External"/><Relationship Id="rId45" Type="http://schemas.openxmlformats.org/officeDocument/2006/relationships/hyperlink" Target="https://rankmath.com/kb/pro-3-0-123-security-incident/" TargetMode="External"/><Relationship Id="rId46" Type="http://schemas.openxmlformats.org/officeDocument/2006/relationships/hyperlink" Target="https://www.wordfence.com/blog/2026/10/rank-math-seo-pro-3-0-123-malware/" TargetMode="External"/><Relationship Id="rId47" Type="http://schemas.openxmlformats.org/officeDocument/2006/relationships/hyperlink" Target="https://teamupdraft.com/blog/security-incident-october-2026/" TargetMode="External"/><Relationship Id="rId48" Type="http://schemas.openxmlformats.org/officeDocument/2006/relationships/hyperlink" Target="https://www.connectwise.com/company/trust/advisories" TargetMode="External"/><Relationship Id="rId49" Type="http://schemas.openxmlformats.org/officeDocument/2006/relationships/hyperlink" Target="https://github.com/tensorlakeai/tensorlake/security/advisories/GHSA-8g63-53c9-65j2" TargetMode="External"/><Relationship Id="rId50" Type="http://schemas.openxmlformats.org/officeDocument/2006/relationships/hyperlink" Target="https://www.stepsecurity.io/blog/subql-ecosystem-compromised" TargetMode="External"/><Relationship Id="rId51" Type="http://schemas.openxmlformats.org/officeDocument/2006/relationships/hyperlink" Target="https://flatt.tech/research/posts/subql-common-npm-supply-chain-attack/" TargetMode="External"/><Relationship Id="rId52" Type="http://schemas.openxmlformats.org/officeDocument/2006/relationships/hyperlink" Target="https://blog.gitguardian.com/ghostaction-github-actions-supply-chain-attack-returns/" TargetMode="External"/><Relationship Id="rId53" Type="http://schemas.openxmlformats.org/officeDocument/2006/relationships/hyperlink" Target="https://tailscale.com/security-bulletins#ts-2026-013" TargetMode="External"/><Relationship Id="rId54" Type="http://schemas.openxmlformats.org/officeDocument/2006/relationships/hyperlink" Target="https://niccolox.github.io/writing/cyberpolycrisis-network-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polycrisis: Issue register and recommended actions</dc:title>
  <dc:subject>Twenty-six topics with evidence, exposure and response actions</dc:subject>
  <dc:creator>Nicholas (Niccolo) Roberts</dc:creator>
  <cp:keywords>cybersecurity, incident register, AI security, operations, October 2026</cp:keywords>
  <dc:description>generated by python-docx</dc:description>
  <cp:lastModifiedBy/>
  <cp:revision>1</cp:revision>
  <dcterms:created xsi:type="dcterms:W3CDTF">2013-12-23T23:15:00Z</dcterms:created>
  <dcterms:modified xsi:type="dcterms:W3CDTF">2013-12-23T23:15:00Z</dcterms:modified>
  <cp:category/>
</cp:coreProperties>
</file>